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2169" w14:textId="065FBAB4" w:rsidR="00563E20" w:rsidRPr="000715D2" w:rsidRDefault="006F5338" w:rsidP="000715D2">
      <w:pPr>
        <w:pStyle w:val="Heading1"/>
        <w:rPr>
          <w:sz w:val="24"/>
          <w:szCs w:val="24"/>
          <w:lang w:val="en-US"/>
        </w:rPr>
      </w:pPr>
      <w:r w:rsidRPr="006F5338">
        <w:rPr>
          <w:sz w:val="24"/>
          <w:szCs w:val="24"/>
          <w:lang w:val="en-US"/>
        </w:rPr>
        <w:t>DIGITAL SUPPLEMENTARY MATERIAL</w:t>
      </w:r>
    </w:p>
    <w:p w14:paraId="59B8ECE8" w14:textId="69E0261F" w:rsidR="00E65674" w:rsidRPr="00734E3A" w:rsidRDefault="00E65674" w:rsidP="000715D2">
      <w:pPr>
        <w:pStyle w:val="PSETableCaption"/>
        <w:jc w:val="center"/>
      </w:pPr>
      <w:r w:rsidRPr="00734E3A">
        <w:rPr>
          <w:b/>
          <w:bCs/>
        </w:rPr>
        <w:t xml:space="preserve">Table </w:t>
      </w:r>
      <w:r w:rsidR="000715D2">
        <w:rPr>
          <w:b/>
          <w:bCs/>
        </w:rPr>
        <w:t>S</w:t>
      </w:r>
      <w:r w:rsidRPr="00734E3A">
        <w:rPr>
          <w:b/>
          <w:bCs/>
        </w:rPr>
        <w:t>1</w:t>
      </w:r>
      <w:r w:rsidRPr="00734E3A">
        <w:t xml:space="preserve">: </w:t>
      </w:r>
      <w:proofErr w:type="spellStart"/>
      <w:r w:rsidRPr="00734E3A">
        <w:t>PolyActive</w:t>
      </w:r>
      <w:proofErr w:type="spellEnd"/>
      <w:r w:rsidRPr="00734E3A">
        <w:t xml:space="preserve"> membrane permeance </w:t>
      </w:r>
      <w:r w:rsidR="000715D2">
        <w:t>(Wang, 202</w:t>
      </w:r>
      <w:r w:rsidR="00595A89">
        <w:t>0</w:t>
      </w:r>
      <w:r w:rsidR="000715D2">
        <w:t>)</w:t>
      </w:r>
    </w:p>
    <w:tbl>
      <w:tblPr>
        <w:tblStyle w:val="PSETableFormat"/>
        <w:tblW w:w="4506" w:type="dxa"/>
        <w:jc w:val="center"/>
        <w:tblLook w:val="04A0" w:firstRow="1" w:lastRow="0" w:firstColumn="1" w:lastColumn="0" w:noHBand="0" w:noVBand="1"/>
      </w:tblPr>
      <w:tblGrid>
        <w:gridCol w:w="1800"/>
        <w:gridCol w:w="990"/>
        <w:gridCol w:w="900"/>
        <w:gridCol w:w="816"/>
      </w:tblGrid>
      <w:tr w:rsidR="00E65674" w14:paraId="0CA64653" w14:textId="77777777" w:rsidTr="00071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tcW w:w="1800" w:type="dxa"/>
          </w:tcPr>
          <w:p w14:paraId="26655314" w14:textId="77777777" w:rsidR="00E65674" w:rsidRPr="00251DC9" w:rsidRDefault="00E65674" w:rsidP="00F20271">
            <w:pPr>
              <w:pStyle w:val="PSETableContent"/>
              <w:rPr>
                <w:b/>
                <w:bCs/>
              </w:rPr>
            </w:pPr>
            <w:r>
              <w:rPr>
                <w:b/>
                <w:bCs/>
              </w:rPr>
              <w:t>Temperature [</w:t>
            </w:r>
            <w:r w:rsidRPr="00CC2766">
              <w:rPr>
                <w:rFonts w:ascii="Times New Roman" w:hAnsi="Times New Roman"/>
              </w:rPr>
              <w:t>°</w:t>
            </w:r>
            <w:r>
              <w:rPr>
                <w:b/>
                <w:bCs/>
              </w:rPr>
              <w:t>C]</w:t>
            </w:r>
          </w:p>
        </w:tc>
        <w:tc>
          <w:tcPr>
            <w:tcW w:w="990" w:type="dxa"/>
          </w:tcPr>
          <w:p w14:paraId="1830F518" w14:textId="77777777" w:rsidR="00E65674" w:rsidRPr="00251DC9" w:rsidRDefault="00E65674" w:rsidP="00F20271">
            <w:pPr>
              <w:pStyle w:val="PSETableConten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00" w:type="dxa"/>
          </w:tcPr>
          <w:p w14:paraId="2937507E" w14:textId="77777777" w:rsidR="00E65674" w:rsidRPr="00251DC9" w:rsidRDefault="00E65674" w:rsidP="00F20271">
            <w:pPr>
              <w:pStyle w:val="PSETableConten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16" w:type="dxa"/>
          </w:tcPr>
          <w:p w14:paraId="4A17C325" w14:textId="77777777" w:rsidR="00E65674" w:rsidRPr="00251DC9" w:rsidRDefault="00E65674" w:rsidP="00F20271">
            <w:pPr>
              <w:pStyle w:val="PSETableConten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E65674" w14:paraId="4DFDA920" w14:textId="77777777" w:rsidTr="000715D2">
        <w:trPr>
          <w:trHeight w:val="208"/>
          <w:jc w:val="center"/>
        </w:trPr>
        <w:tc>
          <w:tcPr>
            <w:tcW w:w="1800" w:type="dxa"/>
          </w:tcPr>
          <w:p w14:paraId="61E4967F" w14:textId="77777777" w:rsidR="00E65674" w:rsidRDefault="00E65674" w:rsidP="00F20271">
            <w:pPr>
              <w:pStyle w:val="PSETableContent"/>
            </w:pPr>
            <w:r>
              <w:t>CO</w:t>
            </w:r>
            <w:r w:rsidRPr="00D97E8D">
              <w:rPr>
                <w:vertAlign w:val="subscript"/>
              </w:rPr>
              <w:t>2</w:t>
            </w:r>
          </w:p>
        </w:tc>
        <w:tc>
          <w:tcPr>
            <w:tcW w:w="990" w:type="dxa"/>
            <w:vAlign w:val="center"/>
          </w:tcPr>
          <w:p w14:paraId="196E76C2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5</w:t>
            </w:r>
          </w:p>
        </w:tc>
        <w:tc>
          <w:tcPr>
            <w:tcW w:w="900" w:type="dxa"/>
            <w:vAlign w:val="center"/>
          </w:tcPr>
          <w:p w14:paraId="3DCEA42D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4.3</w:t>
            </w:r>
          </w:p>
        </w:tc>
        <w:tc>
          <w:tcPr>
            <w:tcW w:w="816" w:type="dxa"/>
            <w:vAlign w:val="center"/>
          </w:tcPr>
          <w:p w14:paraId="3B7D38ED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3</w:t>
            </w:r>
          </w:p>
        </w:tc>
      </w:tr>
      <w:tr w:rsidR="00E65674" w14:paraId="1FAAF331" w14:textId="77777777" w:rsidTr="000715D2">
        <w:trPr>
          <w:trHeight w:val="200"/>
          <w:jc w:val="center"/>
        </w:trPr>
        <w:tc>
          <w:tcPr>
            <w:tcW w:w="1800" w:type="dxa"/>
          </w:tcPr>
          <w:p w14:paraId="174DFFFA" w14:textId="77777777" w:rsidR="00E65674" w:rsidRDefault="00E65674" w:rsidP="00F20271">
            <w:pPr>
              <w:pStyle w:val="PSETableContent"/>
            </w:pPr>
            <w:r>
              <w:t>H</w:t>
            </w:r>
            <w:r w:rsidRPr="00D97E8D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990" w:type="dxa"/>
            <w:vAlign w:val="center"/>
          </w:tcPr>
          <w:p w14:paraId="2661DB03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15</w:t>
            </w:r>
          </w:p>
        </w:tc>
        <w:tc>
          <w:tcPr>
            <w:tcW w:w="900" w:type="dxa"/>
            <w:vAlign w:val="center"/>
          </w:tcPr>
          <w:p w14:paraId="131BB69E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43.3</w:t>
            </w:r>
          </w:p>
        </w:tc>
        <w:tc>
          <w:tcPr>
            <w:tcW w:w="816" w:type="dxa"/>
            <w:vAlign w:val="center"/>
          </w:tcPr>
          <w:p w14:paraId="29398B8A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53</w:t>
            </w:r>
          </w:p>
        </w:tc>
      </w:tr>
      <w:tr w:rsidR="00E65674" w14:paraId="02DFB01E" w14:textId="77777777" w:rsidTr="000715D2">
        <w:trPr>
          <w:trHeight w:val="208"/>
          <w:jc w:val="center"/>
        </w:trPr>
        <w:tc>
          <w:tcPr>
            <w:tcW w:w="1800" w:type="dxa"/>
          </w:tcPr>
          <w:p w14:paraId="7C407244" w14:textId="77777777" w:rsidR="00E65674" w:rsidRDefault="00E65674" w:rsidP="00F20271">
            <w:pPr>
              <w:pStyle w:val="PSETableContent"/>
            </w:pPr>
            <w:r>
              <w:t>CO</w:t>
            </w:r>
            <w:r w:rsidRPr="00D97E8D">
              <w:rPr>
                <w:vertAlign w:val="subscript"/>
              </w:rPr>
              <w:t>2</w:t>
            </w:r>
            <w:r>
              <w:t>/N</w:t>
            </w:r>
            <w:r w:rsidRPr="00D97E8D">
              <w:rPr>
                <w:vertAlign w:val="subscript"/>
              </w:rPr>
              <w:t>2</w:t>
            </w:r>
          </w:p>
        </w:tc>
        <w:tc>
          <w:tcPr>
            <w:tcW w:w="990" w:type="dxa"/>
            <w:vAlign w:val="center"/>
          </w:tcPr>
          <w:p w14:paraId="4F6CA83E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25</w:t>
            </w:r>
          </w:p>
        </w:tc>
        <w:tc>
          <w:tcPr>
            <w:tcW w:w="900" w:type="dxa"/>
            <w:vAlign w:val="center"/>
          </w:tcPr>
          <w:p w14:paraId="167F3103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36</w:t>
            </w:r>
          </w:p>
        </w:tc>
        <w:tc>
          <w:tcPr>
            <w:tcW w:w="816" w:type="dxa"/>
            <w:vAlign w:val="center"/>
          </w:tcPr>
          <w:p w14:paraId="2887F571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50</w:t>
            </w:r>
          </w:p>
        </w:tc>
      </w:tr>
      <w:tr w:rsidR="00E65674" w14:paraId="70CC61B3" w14:textId="77777777" w:rsidTr="000715D2">
        <w:trPr>
          <w:trHeight w:val="166"/>
          <w:jc w:val="center"/>
        </w:trPr>
        <w:tc>
          <w:tcPr>
            <w:tcW w:w="1800" w:type="dxa"/>
          </w:tcPr>
          <w:p w14:paraId="5A742DFD" w14:textId="77777777" w:rsidR="00E65674" w:rsidRDefault="00E65674" w:rsidP="00F20271">
            <w:pPr>
              <w:pStyle w:val="PSETableContent"/>
            </w:pPr>
            <w:r>
              <w:t>O</w:t>
            </w:r>
            <w:r w:rsidRPr="00D97E8D">
              <w:rPr>
                <w:vertAlign w:val="subscript"/>
              </w:rPr>
              <w:t>2</w:t>
            </w:r>
            <w:r>
              <w:t>/N</w:t>
            </w:r>
            <w:r w:rsidRPr="00D97E8D">
              <w:rPr>
                <w:vertAlign w:val="subscript"/>
              </w:rPr>
              <w:t>2</w:t>
            </w:r>
          </w:p>
        </w:tc>
        <w:tc>
          <w:tcPr>
            <w:tcW w:w="990" w:type="dxa"/>
            <w:vAlign w:val="center"/>
          </w:tcPr>
          <w:p w14:paraId="36151A81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2.8</w:t>
            </w:r>
          </w:p>
        </w:tc>
        <w:tc>
          <w:tcPr>
            <w:tcW w:w="900" w:type="dxa"/>
            <w:vAlign w:val="center"/>
          </w:tcPr>
          <w:p w14:paraId="62A69E4E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2.8</w:t>
            </w:r>
          </w:p>
        </w:tc>
        <w:tc>
          <w:tcPr>
            <w:tcW w:w="816" w:type="dxa"/>
            <w:vAlign w:val="center"/>
          </w:tcPr>
          <w:p w14:paraId="2D13EF34" w14:textId="77777777" w:rsidR="00E65674" w:rsidRPr="00B97F39" w:rsidRDefault="00E65674" w:rsidP="00F20271">
            <w:pPr>
              <w:pStyle w:val="PSETableContent"/>
              <w:jc w:val="center"/>
            </w:pPr>
            <w:r w:rsidRPr="00B97F39">
              <w:t>2.8</w:t>
            </w:r>
          </w:p>
        </w:tc>
      </w:tr>
    </w:tbl>
    <w:p w14:paraId="0CD70BCB" w14:textId="3B679BFB" w:rsidR="009E5A09" w:rsidRDefault="009E5A09" w:rsidP="006F5338">
      <w:pPr>
        <w:rPr>
          <w:lang w:val="en-US"/>
        </w:rPr>
      </w:pPr>
    </w:p>
    <w:p w14:paraId="10343C04" w14:textId="6FD28B3A" w:rsidR="0078697A" w:rsidRPr="0026715A" w:rsidRDefault="00E65674" w:rsidP="0078697A">
      <w:pPr>
        <w:pStyle w:val="PSEText"/>
      </w:pPr>
      <w:r w:rsidRPr="00677050">
        <w:t xml:space="preserve">The cost data for </w:t>
      </w:r>
      <w:r>
        <w:t xml:space="preserve">the </w:t>
      </w:r>
      <w:proofErr w:type="spellStart"/>
      <w:r w:rsidRPr="00677050">
        <w:t>PolyActive</w:t>
      </w:r>
      <w:proofErr w:type="spellEnd"/>
      <w:r w:rsidRPr="00677050">
        <w:t xml:space="preserve"> membrane </w:t>
      </w:r>
      <w:r>
        <w:t>are</w:t>
      </w:r>
      <w:r w:rsidRPr="00677050">
        <w:t xml:space="preserve"> presented in Table </w:t>
      </w:r>
      <w:r w:rsidR="000715D2">
        <w:t>S</w:t>
      </w:r>
      <w:r>
        <w:t xml:space="preserve">2 and Equation </w:t>
      </w:r>
      <w:r w:rsidR="000715D2">
        <w:t>1</w:t>
      </w:r>
      <w:r>
        <w:t xml:space="preserve"> can be applied to estimate the cost at a given capacity. M</w:t>
      </w:r>
      <w:r w:rsidRPr="00677050">
        <w:t>embrane and frame</w:t>
      </w:r>
      <w:r>
        <w:t xml:space="preserve">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frame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>
        <w:rPr>
          <w:rFonts w:eastAsiaTheme="minorEastAsia"/>
        </w:rPr>
        <w:t>)</w:t>
      </w:r>
      <w:r w:rsidRPr="00677050">
        <w:t xml:space="preserve"> costs of $50</w:t>
      </w:r>
      <w:r w:rsidR="0078697A">
        <w:t xml:space="preserve"> and membrane area </w:t>
      </w:r>
      <w:r w:rsidR="0078697A">
        <w:t>(</w:t>
      </w:r>
      <m:oMath>
        <m:r>
          <w:rPr>
            <w:rFonts w:ascii="Cambria Math" w:hAnsi="Cambria Math"/>
          </w:rPr>
          <m:t>A</m:t>
        </m:r>
      </m:oMath>
      <w:r w:rsidR="0078697A">
        <w:rPr>
          <w:rFonts w:eastAsiaTheme="minorEastAsia"/>
        </w:rPr>
        <w:t xml:space="preserve">, </w:t>
      </w:r>
      <w:r w:rsidR="0078697A" w:rsidRPr="00677050">
        <w:t>m²</w:t>
      </w:r>
      <w:r w:rsidR="0078697A">
        <w:t xml:space="preserve">) </w:t>
      </w:r>
      <w:r w:rsidR="0078697A">
        <w:t xml:space="preserve"> are used</w:t>
      </w:r>
      <w:r w:rsidRPr="00677050">
        <w:t xml:space="preserve"> with the frame cost </w:t>
      </w:r>
      <w:r>
        <w:t xml:space="preserve">equation is presented in Equation </w:t>
      </w:r>
      <w:r w:rsidR="000715D2">
        <w:t>2</w:t>
      </w:r>
      <w:r>
        <w:t xml:space="preserve">. </w:t>
      </w:r>
      <w:r w:rsidR="0078697A">
        <w:t xml:space="preserve">For the membrane cost, </w:t>
      </w:r>
      <w:r w:rsidR="0078697A">
        <w:t xml:space="preserve">a </w:t>
      </w:r>
      <w:r w:rsidR="008E336D">
        <w:t>first</w:t>
      </w:r>
      <w:r w:rsidR="0078697A">
        <w:t>-of-a-kind (</w:t>
      </w:r>
      <w:r w:rsidR="008E336D">
        <w:t>F</w:t>
      </w:r>
      <w:r w:rsidR="0078697A">
        <w:t xml:space="preserve">OAK) cost of </w:t>
      </w:r>
      <w:r w:rsidR="0078697A" w:rsidRPr="00677050">
        <w:t>$</w:t>
      </w:r>
      <w:r w:rsidR="0078697A">
        <w:t>200</w:t>
      </w:r>
      <w:r w:rsidR="0078697A" w:rsidRPr="00677050">
        <w:t xml:space="preserve"> per m²</w:t>
      </w:r>
      <w:r w:rsidR="0078697A">
        <w:t xml:space="preserve"> </w:t>
      </w:r>
      <w:r w:rsidR="0078697A">
        <w:t xml:space="preserve">is used </w:t>
      </w:r>
      <w:r w:rsidR="0078697A">
        <w:t>(Zhai, 2019)</w:t>
      </w:r>
      <w:r w:rsidR="00766443">
        <w:t>,</w:t>
      </w:r>
      <w:r w:rsidR="008E336D">
        <w:t xml:space="preserve"> </w:t>
      </w:r>
      <w:r w:rsidR="00766443">
        <w:t>as limited real-world data on me</w:t>
      </w:r>
      <w:r w:rsidR="00766443">
        <w:t>mbrane carbon capture unit</w:t>
      </w:r>
      <w:r w:rsidR="00766443">
        <w:t>s</w:t>
      </w:r>
      <w:r w:rsidR="00766443">
        <w:t xml:space="preserve"> </w:t>
      </w:r>
      <w:r w:rsidR="00766443">
        <w:t xml:space="preserve">are publicly available. </w:t>
      </w:r>
    </w:p>
    <w:bookmarkStart w:id="0" w:name="_Hlk188282567"/>
    <w:p w14:paraId="38E0F065" w14:textId="7BE52D76" w:rsidR="00E65674" w:rsidRDefault="00000000" w:rsidP="00E65674">
      <w:pPr>
        <w:pStyle w:val="PSEEquation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ref</m:t>
                    </m:r>
                  </m:sub>
                </m:sSub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ref</m:t>
                            </m:r>
                          </m:sub>
                        </m:sSub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bookmarkEnd w:id="0"/>
      <w:r w:rsidR="00E65674">
        <w:rPr>
          <w:rFonts w:eastAsiaTheme="minorEastAsia"/>
        </w:rPr>
        <w:t xml:space="preserve">                                                           </w:t>
      </w:r>
      <w:r w:rsidR="000715D2">
        <w:rPr>
          <w:rFonts w:eastAsiaTheme="minorEastAsia"/>
        </w:rPr>
        <w:t xml:space="preserve">    </w:t>
      </w:r>
      <w:r w:rsidR="00E65674">
        <w:rPr>
          <w:rFonts w:eastAsiaTheme="minorEastAsia"/>
        </w:rPr>
        <w:t>(</w:t>
      </w:r>
      <w:r w:rsidR="000715D2">
        <w:rPr>
          <w:rFonts w:eastAsiaTheme="minorEastAsia"/>
        </w:rPr>
        <w:t>1</w:t>
      </w:r>
      <w:r w:rsidR="00E65674">
        <w:rPr>
          <w:rFonts w:eastAsiaTheme="minorEastAsia"/>
        </w:rPr>
        <w:t xml:space="preserve">) </w:t>
      </w:r>
    </w:p>
    <w:p w14:paraId="287322CB" w14:textId="041D55C0" w:rsidR="00E65674" w:rsidRPr="00FD5B58" w:rsidRDefault="00000000" w:rsidP="00E65674">
      <w:pPr>
        <w:pStyle w:val="PSEEquation"/>
        <w:rPr>
          <w:color w:val="auto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frame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0.7</m:t>
            </m:r>
          </m:sup>
        </m:s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frame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="00E65674">
        <w:rPr>
          <w:rFonts w:eastAsiaTheme="minorEastAsia"/>
        </w:rPr>
        <w:t xml:space="preserve">                                       </w:t>
      </w:r>
      <w:r w:rsidR="000F18A9">
        <w:rPr>
          <w:rFonts w:eastAsiaTheme="minorEastAsia"/>
        </w:rPr>
        <w:t>(</w:t>
      </w:r>
      <w:r w:rsidR="000715D2">
        <w:rPr>
          <w:color w:val="auto"/>
        </w:rPr>
        <w:t>2</w:t>
      </w:r>
      <w:r w:rsidR="00E65674" w:rsidRPr="006255D9">
        <w:rPr>
          <w:color w:val="auto"/>
        </w:rPr>
        <w:t>)</w:t>
      </w:r>
      <w:r w:rsidR="00E65674">
        <w:rPr>
          <w:rFonts w:eastAsiaTheme="minorEastAsia"/>
        </w:rPr>
        <w:t xml:space="preserve">                           </w:t>
      </w:r>
    </w:p>
    <w:p w14:paraId="640A7FE3" w14:textId="4FB3A1EF" w:rsidR="00E65674" w:rsidRDefault="00E65674" w:rsidP="000715D2">
      <w:pPr>
        <w:pStyle w:val="PSETableCaption"/>
        <w:jc w:val="center"/>
      </w:pPr>
      <w:r w:rsidRPr="00B24F42">
        <w:rPr>
          <w:b/>
          <w:bCs/>
        </w:rPr>
        <w:t xml:space="preserve">Table </w:t>
      </w:r>
      <w:r w:rsidR="000715D2">
        <w:rPr>
          <w:b/>
          <w:bCs/>
        </w:rPr>
        <w:t>S</w:t>
      </w:r>
      <w:r>
        <w:rPr>
          <w:b/>
          <w:bCs/>
        </w:rPr>
        <w:t>2</w:t>
      </w:r>
      <w:r w:rsidRPr="00B24F42">
        <w:rPr>
          <w:b/>
          <w:bCs/>
        </w:rPr>
        <w:t xml:space="preserve">: </w:t>
      </w:r>
      <w:proofErr w:type="spellStart"/>
      <w:r>
        <w:t>PolyActive</w:t>
      </w:r>
      <w:proofErr w:type="spellEnd"/>
      <w:r>
        <w:t xml:space="preserve"> membrane cost data </w:t>
      </w:r>
      <w:r w:rsidRPr="00FD5B58">
        <w:t>(US$</w:t>
      </w:r>
      <w:r w:rsidRPr="00FD5B58">
        <w:rPr>
          <w:vertAlign w:val="subscript"/>
        </w:rPr>
        <w:t>2010</w:t>
      </w:r>
      <w:r w:rsidRPr="00FD5B58">
        <w:t>)</w:t>
      </w:r>
    </w:p>
    <w:tbl>
      <w:tblPr>
        <w:tblStyle w:val="PSETableFormat"/>
        <w:tblW w:w="7443" w:type="dxa"/>
        <w:jc w:val="center"/>
        <w:tblLook w:val="04A0" w:firstRow="1" w:lastRow="0" w:firstColumn="1" w:lastColumn="0" w:noHBand="0" w:noVBand="1"/>
      </w:tblPr>
      <w:tblGrid>
        <w:gridCol w:w="2087"/>
        <w:gridCol w:w="1651"/>
        <w:gridCol w:w="1869"/>
        <w:gridCol w:w="1836"/>
      </w:tblGrid>
      <w:tr w:rsidR="00E65674" w14:paraId="5BB70866" w14:textId="77777777" w:rsidTr="00071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  <w:jc w:val="center"/>
        </w:trPr>
        <w:tc>
          <w:tcPr>
            <w:tcW w:w="2087" w:type="dxa"/>
          </w:tcPr>
          <w:p w14:paraId="01D925DF" w14:textId="77777777" w:rsidR="00E65674" w:rsidRPr="00251DC9" w:rsidRDefault="00E65674" w:rsidP="00F20271">
            <w:pPr>
              <w:pStyle w:val="PSETableContent"/>
              <w:rPr>
                <w:b/>
                <w:bCs/>
              </w:rPr>
            </w:pPr>
            <w:r>
              <w:rPr>
                <w:b/>
                <w:bCs/>
              </w:rPr>
              <w:t>Equipment</w:t>
            </w:r>
          </w:p>
        </w:tc>
        <w:tc>
          <w:tcPr>
            <w:tcW w:w="1651" w:type="dxa"/>
          </w:tcPr>
          <w:p w14:paraId="028E9FE7" w14:textId="77777777" w:rsidR="00E65674" w:rsidRPr="00251DC9" w:rsidRDefault="00E65674" w:rsidP="00F20271">
            <w:pPr>
              <w:pStyle w:val="PSETableConten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Capacity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ref</m:t>
                      </m:r>
                    </m:sub>
                  </m:sSub>
                </m:sub>
              </m:sSub>
            </m:oMath>
          </w:p>
        </w:tc>
        <w:tc>
          <w:tcPr>
            <w:tcW w:w="1869" w:type="dxa"/>
          </w:tcPr>
          <w:p w14:paraId="6D322C12" w14:textId="35F9EADB" w:rsidR="00E65674" w:rsidRPr="00251DC9" w:rsidRDefault="00E65674" w:rsidP="000715D2">
            <w:pPr>
              <w:pStyle w:val="PSETableConten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Cost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ref</m:t>
                      </m:r>
                    </m:sub>
                  </m:sSub>
                </m:sub>
              </m:sSub>
            </m:oMath>
          </w:p>
        </w:tc>
        <w:tc>
          <w:tcPr>
            <w:tcW w:w="1836" w:type="dxa"/>
          </w:tcPr>
          <w:p w14:paraId="38D197BD" w14:textId="7E93C5DA" w:rsidR="00E65674" w:rsidRDefault="00E65674" w:rsidP="00F20271">
            <w:pPr>
              <w:pStyle w:val="PSETableConten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Exponent </w:t>
            </w:r>
            <m:oMath>
              <m:r>
                <w:rPr>
                  <w:rFonts w:ascii="Cambria Math" w:hAnsi="Cambria Math"/>
                </w:rPr>
                <m:t>n</m:t>
              </m:r>
            </m:oMath>
          </w:p>
        </w:tc>
      </w:tr>
      <w:tr w:rsidR="00E65674" w14:paraId="2D1B0975" w14:textId="77777777" w:rsidTr="000715D2">
        <w:trPr>
          <w:trHeight w:val="192"/>
          <w:jc w:val="center"/>
        </w:trPr>
        <w:tc>
          <w:tcPr>
            <w:tcW w:w="2087" w:type="dxa"/>
          </w:tcPr>
          <w:p w14:paraId="17CA099F" w14:textId="761A414D" w:rsidR="00E65674" w:rsidRDefault="00E65674" w:rsidP="00F20271">
            <w:pPr>
              <w:pStyle w:val="PSETableContent"/>
            </w:pPr>
            <w:r>
              <w:t>H</w:t>
            </w:r>
            <w:r w:rsidR="00A76D25">
              <w:t xml:space="preserve">eat </w:t>
            </w:r>
            <w:r>
              <w:t>E</w:t>
            </w:r>
            <w:r w:rsidR="00A76D25">
              <w:t>xchanger</w:t>
            </w:r>
          </w:p>
        </w:tc>
        <w:tc>
          <w:tcPr>
            <w:tcW w:w="1651" w:type="dxa"/>
          </w:tcPr>
          <w:p w14:paraId="3CDFE710" w14:textId="77777777" w:rsidR="00E65674" w:rsidRDefault="00E65674" w:rsidP="00F20271">
            <w:pPr>
              <w:pStyle w:val="PSETableContent"/>
            </w:pPr>
            <w:r>
              <w:t>80 m</w:t>
            </w:r>
            <w:r w:rsidRPr="003E3AFA">
              <w:rPr>
                <w:vertAlign w:val="superscript"/>
              </w:rPr>
              <w:t>2</w:t>
            </w:r>
          </w:p>
        </w:tc>
        <w:tc>
          <w:tcPr>
            <w:tcW w:w="1869" w:type="dxa"/>
          </w:tcPr>
          <w:p w14:paraId="74B02388" w14:textId="77777777" w:rsidR="00E65674" w:rsidRPr="002F5FC2" w:rsidRDefault="00E65674" w:rsidP="00F20271">
            <w:pPr>
              <w:pStyle w:val="PSETableContent"/>
              <w:jc w:val="center"/>
              <w:rPr>
                <w:vertAlign w:val="superscript"/>
              </w:rPr>
            </w:pPr>
            <w:r>
              <w:t xml:space="preserve">3.28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</m:oMath>
            <w:r>
              <w:rPr>
                <w:rFonts w:eastAsiaTheme="minorEastAsia"/>
              </w:rPr>
              <w:t xml:space="preserve"> 10</w:t>
            </w:r>
            <w:r>
              <w:rPr>
                <w:rFonts w:eastAsiaTheme="minorEastAsia"/>
                <w:vertAlign w:val="superscript"/>
              </w:rPr>
              <w:t>4</w:t>
            </w:r>
          </w:p>
        </w:tc>
        <w:tc>
          <w:tcPr>
            <w:tcW w:w="1836" w:type="dxa"/>
          </w:tcPr>
          <w:p w14:paraId="245006A1" w14:textId="77777777" w:rsidR="00E65674" w:rsidRDefault="00E65674" w:rsidP="00F20271">
            <w:pPr>
              <w:pStyle w:val="PSETableContent"/>
              <w:jc w:val="center"/>
            </w:pPr>
            <w:r>
              <w:t>0.68</w:t>
            </w:r>
          </w:p>
        </w:tc>
      </w:tr>
      <w:tr w:rsidR="00E65674" w14:paraId="4B5B8981" w14:textId="77777777" w:rsidTr="000715D2">
        <w:trPr>
          <w:trHeight w:val="201"/>
          <w:jc w:val="center"/>
        </w:trPr>
        <w:tc>
          <w:tcPr>
            <w:tcW w:w="2087" w:type="dxa"/>
          </w:tcPr>
          <w:p w14:paraId="0146A579" w14:textId="77777777" w:rsidR="00E65674" w:rsidRDefault="00E65674" w:rsidP="00F20271">
            <w:pPr>
              <w:pStyle w:val="PSETableContent"/>
            </w:pPr>
            <w:r>
              <w:t>Compressor</w:t>
            </w:r>
          </w:p>
        </w:tc>
        <w:tc>
          <w:tcPr>
            <w:tcW w:w="1651" w:type="dxa"/>
          </w:tcPr>
          <w:p w14:paraId="0E46CFE1" w14:textId="77777777" w:rsidR="00E65674" w:rsidRDefault="00E65674" w:rsidP="00F20271">
            <w:pPr>
              <w:pStyle w:val="PSETableContent"/>
            </w:pPr>
            <w:r>
              <w:t>250 kW</w:t>
            </w:r>
          </w:p>
        </w:tc>
        <w:tc>
          <w:tcPr>
            <w:tcW w:w="1869" w:type="dxa"/>
          </w:tcPr>
          <w:p w14:paraId="4DA191B4" w14:textId="77777777" w:rsidR="00E65674" w:rsidRDefault="00E65674" w:rsidP="00F20271">
            <w:pPr>
              <w:pStyle w:val="PSETableContent"/>
              <w:jc w:val="center"/>
            </w:pPr>
            <w:r>
              <w:t xml:space="preserve">9.84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</m:oMath>
            <w:r>
              <w:rPr>
                <w:rFonts w:eastAsiaTheme="minorEastAsia"/>
              </w:rPr>
              <w:t xml:space="preserve"> 10</w:t>
            </w:r>
            <w:r>
              <w:rPr>
                <w:rFonts w:eastAsiaTheme="minorEastAsia"/>
                <w:vertAlign w:val="superscript"/>
              </w:rPr>
              <w:t>4</w:t>
            </w:r>
          </w:p>
        </w:tc>
        <w:tc>
          <w:tcPr>
            <w:tcW w:w="1836" w:type="dxa"/>
          </w:tcPr>
          <w:p w14:paraId="4A5F76C0" w14:textId="77777777" w:rsidR="00E65674" w:rsidRDefault="00E65674" w:rsidP="00F20271">
            <w:pPr>
              <w:pStyle w:val="PSETableContent"/>
              <w:jc w:val="center"/>
            </w:pPr>
            <w:r>
              <w:t>0.46</w:t>
            </w:r>
          </w:p>
        </w:tc>
      </w:tr>
      <w:tr w:rsidR="00E65674" w14:paraId="7C6FAC11" w14:textId="77777777" w:rsidTr="000715D2">
        <w:trPr>
          <w:trHeight w:val="201"/>
          <w:jc w:val="center"/>
        </w:trPr>
        <w:tc>
          <w:tcPr>
            <w:tcW w:w="2087" w:type="dxa"/>
          </w:tcPr>
          <w:p w14:paraId="11B6E6F8" w14:textId="77777777" w:rsidR="00E65674" w:rsidRDefault="00E65674" w:rsidP="00F20271">
            <w:pPr>
              <w:pStyle w:val="PSETableContent"/>
            </w:pPr>
            <w:r>
              <w:t>Pump</w:t>
            </w:r>
          </w:p>
        </w:tc>
        <w:tc>
          <w:tcPr>
            <w:tcW w:w="1651" w:type="dxa"/>
          </w:tcPr>
          <w:p w14:paraId="30C7680D" w14:textId="77777777" w:rsidR="00E65674" w:rsidRDefault="00E65674" w:rsidP="00F20271">
            <w:pPr>
              <w:pStyle w:val="PSETableContent"/>
            </w:pPr>
            <w:r>
              <w:t>4 kW</w:t>
            </w:r>
          </w:p>
        </w:tc>
        <w:tc>
          <w:tcPr>
            <w:tcW w:w="1869" w:type="dxa"/>
          </w:tcPr>
          <w:p w14:paraId="6CEF77C9" w14:textId="77777777" w:rsidR="00E65674" w:rsidRDefault="00E65674" w:rsidP="00F20271">
            <w:pPr>
              <w:pStyle w:val="PSETableContent"/>
              <w:jc w:val="center"/>
            </w:pPr>
            <w:r>
              <w:t xml:space="preserve">9.84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</m:oMath>
            <w:r>
              <w:rPr>
                <w:rFonts w:eastAsiaTheme="minorEastAsia"/>
              </w:rPr>
              <w:t xml:space="preserve"> 10</w:t>
            </w:r>
            <w:r w:rsidRPr="002F5FC2">
              <w:rPr>
                <w:rFonts w:eastAsiaTheme="minorEastAsia"/>
                <w:vertAlign w:val="superscript"/>
              </w:rPr>
              <w:t>3</w:t>
            </w:r>
          </w:p>
        </w:tc>
        <w:tc>
          <w:tcPr>
            <w:tcW w:w="1836" w:type="dxa"/>
          </w:tcPr>
          <w:p w14:paraId="39D35BA5" w14:textId="77777777" w:rsidR="00E65674" w:rsidRDefault="00E65674" w:rsidP="00F20271">
            <w:pPr>
              <w:pStyle w:val="PSETableContent"/>
              <w:jc w:val="center"/>
            </w:pPr>
            <w:r>
              <w:t>0.55</w:t>
            </w:r>
          </w:p>
        </w:tc>
      </w:tr>
    </w:tbl>
    <w:p w14:paraId="0FEFA9C0" w14:textId="77777777" w:rsidR="006C0102" w:rsidRDefault="006C0102" w:rsidP="006F5338">
      <w:pPr>
        <w:rPr>
          <w:lang w:val="en-US"/>
        </w:rPr>
      </w:pPr>
    </w:p>
    <w:p w14:paraId="0F581665" w14:textId="0E2BE610" w:rsidR="000715D2" w:rsidRDefault="000715D2" w:rsidP="000715D2">
      <w:pPr>
        <w:pStyle w:val="PSETableCaption"/>
        <w:jc w:val="center"/>
      </w:pPr>
      <w:r w:rsidRPr="00B24F42">
        <w:rPr>
          <w:b/>
          <w:bCs/>
        </w:rPr>
        <w:t xml:space="preserve">Table </w:t>
      </w:r>
      <w:r>
        <w:rPr>
          <w:b/>
          <w:bCs/>
        </w:rPr>
        <w:t>S</w:t>
      </w:r>
      <w:r w:rsidR="00A03636">
        <w:rPr>
          <w:b/>
          <w:bCs/>
        </w:rPr>
        <w:t>3</w:t>
      </w:r>
      <w:r w:rsidRPr="00B24F42">
        <w:rPr>
          <w:b/>
          <w:bCs/>
        </w:rPr>
        <w:t xml:space="preserve">: </w:t>
      </w:r>
      <w:proofErr w:type="spellStart"/>
      <w:r>
        <w:t>CapEx</w:t>
      </w:r>
      <w:proofErr w:type="spellEnd"/>
      <w:r>
        <w:t xml:space="preserve"> and </w:t>
      </w:r>
      <w:proofErr w:type="spellStart"/>
      <w:r>
        <w:t>OpEx</w:t>
      </w:r>
      <w:proofErr w:type="spellEnd"/>
      <w:r>
        <w:t xml:space="preserve"> estimation method presented in IEAGHG (2024)</w:t>
      </w:r>
    </w:p>
    <w:tbl>
      <w:tblPr>
        <w:tblpPr w:leftFromText="180" w:rightFromText="180" w:vertAnchor="page" w:horzAnchor="margin" w:tblpY="9145"/>
        <w:tblW w:w="8727" w:type="dxa"/>
        <w:tblLook w:val="0000" w:firstRow="0" w:lastRow="0" w:firstColumn="0" w:lastColumn="0" w:noHBand="0" w:noVBand="0"/>
      </w:tblPr>
      <w:tblGrid>
        <w:gridCol w:w="5750"/>
        <w:gridCol w:w="2977"/>
      </w:tblGrid>
      <w:tr w:rsidR="008E336D" w:rsidRPr="00EF7DBA" w14:paraId="6D80C968" w14:textId="77777777" w:rsidTr="008E336D">
        <w:trPr>
          <w:trHeight w:val="212"/>
        </w:trPr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49196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</w:rPr>
            </w:pPr>
            <w:r w:rsidRPr="00573285">
              <w:rPr>
                <w:rFonts w:eastAsia="Times New Roman"/>
                <w:b/>
              </w:rPr>
              <w:fldChar w:fldCharType="begin"/>
            </w:r>
            <w:r w:rsidRPr="00573285">
              <w:rPr>
                <w:rFonts w:eastAsia="Times New Roman"/>
                <w:b/>
              </w:rPr>
              <w:instrText xml:space="preserve"> ADDIN ZOTERO_ITEM CSL_CITATION {"citationID":"p7nJsyCx","properties":{"formattedCitation":"(DOE/NETL, 2021)","plainCitation":"(DOE/NETL, 2021)","dontUpdate":true,"noteIndex":0},"citationItems":[{"id":114,"uris":["http://zotero.org/users/local/zsogIGLu/items/BFBS5CRT"],"itemData":{"id":114,"type":"report","publisher":"National Energy Technology Laboratory (NETL), Pittsburgh, PA, Morgantown, WV …","title":"Quality guidelines for energy systems studies: Cost estimation methodology for NETL assessments of power plant performance-feb 2021","author":[{"family":"DOE/NETL","given":""}],"issued":{"date-parts":[["2021"]]}}}],"schema":"https://github.com/citation-style-language/schema/raw/master/csl-citation.json"} </w:instrText>
            </w:r>
            <w:r w:rsidRPr="00573285">
              <w:rPr>
                <w:rFonts w:eastAsia="Times New Roman"/>
                <w:b/>
              </w:rPr>
              <w:fldChar w:fldCharType="separate"/>
            </w:r>
            <w:proofErr w:type="spellStart"/>
            <w:r w:rsidRPr="00573285">
              <w:rPr>
                <w:b/>
              </w:rPr>
              <w:t>CapEx</w:t>
            </w:r>
            <w:proofErr w:type="spellEnd"/>
            <w:r w:rsidRPr="00573285">
              <w:rPr>
                <w:b/>
              </w:rPr>
              <w:t xml:space="preserve"> method</w:t>
            </w:r>
            <w:r w:rsidRPr="00573285">
              <w:rPr>
                <w:rFonts w:eastAsia="Times New Roman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3D2151D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</w:rPr>
            </w:pPr>
            <w:r w:rsidRPr="00573285">
              <w:rPr>
                <w:rFonts w:eastAsia="Times New Roman"/>
                <w:b/>
              </w:rPr>
              <w:t>%</w:t>
            </w:r>
          </w:p>
        </w:tc>
      </w:tr>
      <w:tr w:rsidR="008E336D" w:rsidRPr="00EF7DBA" w14:paraId="20519162" w14:textId="77777777" w:rsidTr="008E336D">
        <w:trPr>
          <w:trHeight w:val="315"/>
        </w:trPr>
        <w:tc>
          <w:tcPr>
            <w:tcW w:w="5750" w:type="dxa"/>
            <w:vAlign w:val="center"/>
          </w:tcPr>
          <w:p w14:paraId="00BB8CC0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Cs/>
              </w:rPr>
            </w:pPr>
            <w:r w:rsidRPr="00573285">
              <w:rPr>
                <w:rFonts w:eastAsia="Times New Roman"/>
                <w:bCs/>
              </w:rPr>
              <w:t>Equipment Purchase Cost (EPC)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36135FDE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</w:rPr>
            </w:pPr>
          </w:p>
        </w:tc>
      </w:tr>
      <w:tr w:rsidR="008E336D" w:rsidRPr="00EF7DBA" w14:paraId="56F3F8CB" w14:textId="77777777" w:rsidTr="008E336D">
        <w:trPr>
          <w:trHeight w:val="295"/>
        </w:trPr>
        <w:tc>
          <w:tcPr>
            <w:tcW w:w="5750" w:type="dxa"/>
            <w:vAlign w:val="center"/>
          </w:tcPr>
          <w:p w14:paraId="74431159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</w:rPr>
            </w:pPr>
            <w:r w:rsidRPr="00573285">
              <w:rPr>
                <w:rFonts w:eastAsia="Times New Roman"/>
              </w:rPr>
              <w:t>Installation cost/ supporting facilities</w:t>
            </w:r>
            <w:r w:rsidRPr="00573285">
              <w:rPr>
                <w:rFonts w:eastAsia="Times New Roman"/>
                <w:vertAlign w:val="superscript"/>
              </w:rPr>
              <w:t>[*]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4BFD7EBD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</w:rPr>
            </w:pPr>
          </w:p>
        </w:tc>
      </w:tr>
      <w:tr w:rsidR="008E336D" w:rsidRPr="00EF7DBA" w14:paraId="12EF4923" w14:textId="77777777" w:rsidTr="008E336D">
        <w:trPr>
          <w:trHeight w:val="273"/>
        </w:trPr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5F4E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Cs/>
              </w:rPr>
            </w:pPr>
            <w:r w:rsidRPr="00573285">
              <w:rPr>
                <w:rFonts w:eastAsia="Times New Roman"/>
                <w:bCs/>
              </w:rPr>
              <w:t>Total Equipment Cost (TEC)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2013230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</w:rPr>
            </w:pPr>
            <w:r w:rsidRPr="00573285">
              <w:rPr>
                <w:rFonts w:eastAsia="Times New Roman"/>
                <w:b/>
              </w:rPr>
              <w:t>Sum of above</w:t>
            </w:r>
          </w:p>
        </w:tc>
      </w:tr>
      <w:tr w:rsidR="008E336D" w:rsidRPr="00EF7DBA" w14:paraId="3DFCC3B9" w14:textId="77777777" w:rsidTr="008E336D">
        <w:trPr>
          <w:trHeight w:val="284"/>
        </w:trPr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57433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Cs/>
              </w:rPr>
            </w:pPr>
            <w:r w:rsidRPr="00573285">
              <w:rPr>
                <w:rFonts w:eastAsia="Times New Roman"/>
                <w:bCs/>
              </w:rPr>
              <w:t>Total Plant cost (TPC)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7D769A6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  <w:bCs/>
              </w:rPr>
            </w:pPr>
            <w:r w:rsidRPr="00573285">
              <w:rPr>
                <w:rFonts w:eastAsia="Times New Roman"/>
                <w:b/>
                <w:bCs/>
              </w:rPr>
              <w:t>130% TEC</w:t>
            </w:r>
          </w:p>
        </w:tc>
      </w:tr>
      <w:tr w:rsidR="008E336D" w:rsidRPr="00EF7DBA" w14:paraId="2A0DE365" w14:textId="77777777" w:rsidTr="008E336D">
        <w:trPr>
          <w:trHeight w:val="284"/>
        </w:trPr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D5AF3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  <w:bCs/>
              </w:rPr>
            </w:pPr>
            <w:r w:rsidRPr="00573285">
              <w:rPr>
                <w:rFonts w:eastAsia="Times New Roman"/>
                <w:b/>
                <w:bCs/>
              </w:rPr>
              <w:t xml:space="preserve">Total Capital Requirement (TCR) = Total </w:t>
            </w:r>
            <w:proofErr w:type="spellStart"/>
            <w:r w:rsidRPr="00573285">
              <w:rPr>
                <w:rFonts w:eastAsia="Times New Roman"/>
                <w:b/>
                <w:bCs/>
              </w:rPr>
              <w:t>CapEx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0C6EA0E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  <w:bCs/>
              </w:rPr>
            </w:pPr>
            <w:r w:rsidRPr="00573285">
              <w:rPr>
                <w:rFonts w:eastAsia="Times New Roman"/>
                <w:b/>
                <w:bCs/>
              </w:rPr>
              <w:t>110% TPC</w:t>
            </w:r>
          </w:p>
        </w:tc>
      </w:tr>
      <w:tr w:rsidR="008E336D" w:rsidRPr="00EF7DBA" w14:paraId="0761DCDC" w14:textId="77777777" w:rsidTr="008E336D">
        <w:trPr>
          <w:trHeight w:val="284"/>
        </w:trPr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95807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A13098B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</w:rPr>
            </w:pPr>
          </w:p>
        </w:tc>
      </w:tr>
      <w:tr w:rsidR="008E336D" w:rsidRPr="00EF7DBA" w14:paraId="3BA62F73" w14:textId="77777777" w:rsidTr="008E336D">
        <w:trPr>
          <w:trHeight w:val="284"/>
        </w:trPr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2A2B6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  <w:bCs/>
              </w:rPr>
            </w:pPr>
            <w:proofErr w:type="spellStart"/>
            <w:r w:rsidRPr="00573285">
              <w:rPr>
                <w:rFonts w:eastAsia="Times New Roman"/>
                <w:b/>
                <w:bCs/>
              </w:rPr>
              <w:t>OpEx</w:t>
            </w:r>
            <w:proofErr w:type="spellEnd"/>
            <w:r w:rsidRPr="00573285">
              <w:rPr>
                <w:rFonts w:eastAsia="Times New Roman"/>
                <w:b/>
                <w:bCs/>
              </w:rPr>
              <w:t xml:space="preserve"> method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3090232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</w:rPr>
            </w:pPr>
          </w:p>
        </w:tc>
      </w:tr>
      <w:tr w:rsidR="008E336D" w:rsidRPr="00EF7DBA" w14:paraId="31767D75" w14:textId="77777777" w:rsidTr="008E336D">
        <w:trPr>
          <w:trHeight w:val="284"/>
        </w:trPr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2F35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</w:rPr>
            </w:pPr>
            <w:r w:rsidRPr="00573285">
              <w:rPr>
                <w:rFonts w:eastAsia="Times New Roman"/>
              </w:rPr>
              <w:t>Fixed O&amp;M Cost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45AFBB2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  <w:bCs/>
              </w:rPr>
            </w:pPr>
            <w:r w:rsidRPr="00573285">
              <w:rPr>
                <w:rFonts w:eastAsia="Times New Roman"/>
                <w:b/>
                <w:bCs/>
              </w:rPr>
              <w:t>1% TCR</w:t>
            </w:r>
          </w:p>
        </w:tc>
      </w:tr>
      <w:tr w:rsidR="008E336D" w:rsidRPr="00EF7DBA" w14:paraId="0DA43774" w14:textId="77777777" w:rsidTr="008E336D">
        <w:trPr>
          <w:trHeight w:val="284"/>
        </w:trPr>
        <w:tc>
          <w:tcPr>
            <w:tcW w:w="5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B7C846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</w:rPr>
            </w:pPr>
            <w:r w:rsidRPr="00573285">
              <w:rPr>
                <w:rFonts w:eastAsia="Times New Roman"/>
              </w:rPr>
              <w:t>Variable O&amp;M Cost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0A8AE5F2" w14:textId="77777777" w:rsidR="008E336D" w:rsidRPr="00573285" w:rsidRDefault="008E336D" w:rsidP="008E336D">
            <w:pPr>
              <w:pStyle w:val="ListParagraph"/>
              <w:spacing w:after="0"/>
              <w:rPr>
                <w:rFonts w:eastAsia="Times New Roman"/>
                <w:b/>
                <w:bCs/>
              </w:rPr>
            </w:pPr>
            <w:r w:rsidRPr="00573285">
              <w:rPr>
                <w:rFonts w:eastAsia="Times New Roman"/>
                <w:b/>
                <w:bCs/>
              </w:rPr>
              <w:t>2% TCR</w:t>
            </w:r>
          </w:p>
        </w:tc>
      </w:tr>
    </w:tbl>
    <w:p w14:paraId="7D30DF99" w14:textId="19956FFE" w:rsidR="005B11C1" w:rsidRDefault="005B11C1" w:rsidP="006F533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A1DA2" wp14:editId="6A053CFD">
                <wp:simplePos x="0" y="0"/>
                <wp:positionH relativeFrom="column">
                  <wp:posOffset>-81280</wp:posOffset>
                </wp:positionH>
                <wp:positionV relativeFrom="paragraph">
                  <wp:posOffset>1879600</wp:posOffset>
                </wp:positionV>
                <wp:extent cx="6007735" cy="668020"/>
                <wp:effectExtent l="0" t="0" r="0" b="0"/>
                <wp:wrapNone/>
                <wp:docPr id="97369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735" cy="668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31834" w14:textId="77777777" w:rsidR="000715D2" w:rsidRPr="003B58A7" w:rsidRDefault="000715D2" w:rsidP="000715D2">
                            <w:pPr>
                              <w:pStyle w:val="NoSpacing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[</w:t>
                            </w:r>
                            <w:r w:rsidRPr="003B58A7">
                              <w:rPr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lang w:val="en-US"/>
                              </w:rPr>
                              <w:t>]</w:t>
                            </w:r>
                            <w:r w:rsidRPr="003B58A7">
                              <w:rPr>
                                <w:lang w:val="en-US"/>
                              </w:rPr>
                              <w:t xml:space="preserve"> The IEAGHG (2024) report </w:t>
                            </w:r>
                            <w:r>
                              <w:rPr>
                                <w:lang w:val="en-US"/>
                              </w:rPr>
                              <w:t>provides</w:t>
                            </w:r>
                            <w:r w:rsidRPr="003B58A7">
                              <w:rPr>
                                <w:lang w:val="en-US"/>
                              </w:rPr>
                              <w:t xml:space="preserve"> only the </w:t>
                            </w:r>
                            <w:r>
                              <w:rPr>
                                <w:lang w:val="en-US"/>
                              </w:rPr>
                              <w:t>Total Equipment Cost (</w:t>
                            </w:r>
                            <w:r w:rsidRPr="003B58A7">
                              <w:rPr>
                                <w:lang w:val="en-US"/>
                              </w:rPr>
                              <w:t>TEC</w:t>
                            </w:r>
                            <w:r>
                              <w:rPr>
                                <w:lang w:val="en-US"/>
                              </w:rPr>
                              <w:t xml:space="preserve">), </w:t>
                            </w:r>
                            <w:r w:rsidRPr="003B58A7">
                              <w:rPr>
                                <w:lang w:val="en-US"/>
                              </w:rPr>
                              <w:t xml:space="preserve"> which includes the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Pr="003B58A7">
                              <w:rPr>
                                <w:lang w:val="en-US"/>
                              </w:rPr>
                              <w:t xml:space="preserve">quipment </w:t>
                            </w: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B58A7">
                              <w:rPr>
                                <w:lang w:val="en-US"/>
                              </w:rPr>
                              <w:t xml:space="preserve">urchase 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Pr="003B58A7">
                              <w:rPr>
                                <w:lang w:val="en-US"/>
                              </w:rPr>
                              <w:t xml:space="preserve">ost </w:t>
                            </w:r>
                            <w:r>
                              <w:rPr>
                                <w:lang w:val="en-US"/>
                              </w:rPr>
                              <w:t xml:space="preserve">(EPC) </w:t>
                            </w:r>
                            <w:r w:rsidRPr="003B58A7">
                              <w:rPr>
                                <w:lang w:val="en-US"/>
                              </w:rPr>
                              <w:t>and installations</w:t>
                            </w:r>
                            <w:r>
                              <w:rPr>
                                <w:lang w:val="en-US"/>
                              </w:rPr>
                              <w:t>/ supporting facilities</w:t>
                            </w:r>
                            <w:r w:rsidRPr="003B58A7">
                              <w:rPr>
                                <w:lang w:val="en-US"/>
                              </w:rPr>
                              <w:t xml:space="preserve">, without </w:t>
                            </w:r>
                            <w:r>
                              <w:rPr>
                                <w:lang w:val="en-US"/>
                              </w:rPr>
                              <w:t>specifying the</w:t>
                            </w:r>
                            <w:r w:rsidRPr="003B58A7">
                              <w:rPr>
                                <w:lang w:val="en-US"/>
                              </w:rPr>
                              <w:t xml:space="preserve"> assumptions for installation and supporting facilities. Therefore, in this work, assumptions from Turton et al., (2018) were applied</w:t>
                            </w:r>
                            <w:r>
                              <w:rPr>
                                <w:lang w:val="en-US"/>
                              </w:rPr>
                              <w:t xml:space="preserve">, where supporting facilities accounts for 71.4% EPC and installation cost is 37% (EPC + 71.4 EPC).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A1D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148pt;width:473.0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8Q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" filled="f" stroked="f" strokeweight=".5pt">
                <v:textbox>
                  <w:txbxContent>
                    <w:p w14:paraId="19D31834" w14:textId="77777777" w:rsidR="000715D2" w:rsidRPr="003B58A7" w:rsidRDefault="000715D2" w:rsidP="000715D2">
                      <w:pPr>
                        <w:pStyle w:val="NoSpacing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[</w:t>
                      </w:r>
                      <w:r w:rsidRPr="003B58A7">
                        <w:rPr>
                          <w:lang w:val="en-US"/>
                        </w:rPr>
                        <w:t>*</w:t>
                      </w:r>
                      <w:r>
                        <w:rPr>
                          <w:lang w:val="en-US"/>
                        </w:rPr>
                        <w:t>]</w:t>
                      </w:r>
                      <w:r w:rsidRPr="003B58A7">
                        <w:rPr>
                          <w:lang w:val="en-US"/>
                        </w:rPr>
                        <w:t xml:space="preserve"> The IEAGHG (2024) report </w:t>
                      </w:r>
                      <w:r>
                        <w:rPr>
                          <w:lang w:val="en-US"/>
                        </w:rPr>
                        <w:t>provides</w:t>
                      </w:r>
                      <w:r w:rsidRPr="003B58A7">
                        <w:rPr>
                          <w:lang w:val="en-US"/>
                        </w:rPr>
                        <w:t xml:space="preserve"> only the </w:t>
                      </w:r>
                      <w:r>
                        <w:rPr>
                          <w:lang w:val="en-US"/>
                        </w:rPr>
                        <w:t>Total Equipment Cost (</w:t>
                      </w:r>
                      <w:r w:rsidRPr="003B58A7">
                        <w:rPr>
                          <w:lang w:val="en-US"/>
                        </w:rPr>
                        <w:t>TEC</w:t>
                      </w:r>
                      <w:r>
                        <w:rPr>
                          <w:lang w:val="en-US"/>
                        </w:rPr>
                        <w:t xml:space="preserve">), </w:t>
                      </w:r>
                      <w:r w:rsidRPr="003B58A7">
                        <w:rPr>
                          <w:lang w:val="en-US"/>
                        </w:rPr>
                        <w:t xml:space="preserve"> which includes the </w:t>
                      </w:r>
                      <w:r>
                        <w:rPr>
                          <w:lang w:val="en-US"/>
                        </w:rPr>
                        <w:t>E</w:t>
                      </w:r>
                      <w:r w:rsidRPr="003B58A7">
                        <w:rPr>
                          <w:lang w:val="en-US"/>
                        </w:rPr>
                        <w:t xml:space="preserve">quipment </w:t>
                      </w:r>
                      <w:r>
                        <w:rPr>
                          <w:lang w:val="en-US"/>
                        </w:rPr>
                        <w:t>P</w:t>
                      </w:r>
                      <w:r w:rsidRPr="003B58A7">
                        <w:rPr>
                          <w:lang w:val="en-US"/>
                        </w:rPr>
                        <w:t xml:space="preserve">urchase </w:t>
                      </w:r>
                      <w:r>
                        <w:rPr>
                          <w:lang w:val="en-US"/>
                        </w:rPr>
                        <w:t>C</w:t>
                      </w:r>
                      <w:r w:rsidRPr="003B58A7">
                        <w:rPr>
                          <w:lang w:val="en-US"/>
                        </w:rPr>
                        <w:t xml:space="preserve">ost </w:t>
                      </w:r>
                      <w:r>
                        <w:rPr>
                          <w:lang w:val="en-US"/>
                        </w:rPr>
                        <w:t xml:space="preserve">(EPC) </w:t>
                      </w:r>
                      <w:r w:rsidRPr="003B58A7">
                        <w:rPr>
                          <w:lang w:val="en-US"/>
                        </w:rPr>
                        <w:t>and installations</w:t>
                      </w:r>
                      <w:r>
                        <w:rPr>
                          <w:lang w:val="en-US"/>
                        </w:rPr>
                        <w:t>/ supporting facilities</w:t>
                      </w:r>
                      <w:r w:rsidRPr="003B58A7">
                        <w:rPr>
                          <w:lang w:val="en-US"/>
                        </w:rPr>
                        <w:t xml:space="preserve">, without </w:t>
                      </w:r>
                      <w:r>
                        <w:rPr>
                          <w:lang w:val="en-US"/>
                        </w:rPr>
                        <w:t>specifying the</w:t>
                      </w:r>
                      <w:r w:rsidRPr="003B58A7">
                        <w:rPr>
                          <w:lang w:val="en-US"/>
                        </w:rPr>
                        <w:t xml:space="preserve"> assumptions for installation and supporting facilities. Therefore, in this work, assumptions from Turton et al., (2018) were applied</w:t>
                      </w:r>
                      <w:r>
                        <w:rPr>
                          <w:lang w:val="en-US"/>
                        </w:rPr>
                        <w:t xml:space="preserve">, where supporting facilities accounts for 71.4% EPC and installation cost is 37% (EPC + 71.4 EPC). </w:t>
                      </w:r>
                    </w:p>
                  </w:txbxContent>
                </v:textbox>
              </v:shape>
            </w:pict>
          </mc:Fallback>
        </mc:AlternateContent>
      </w:r>
    </w:p>
    <w:p w14:paraId="4262F7F0" w14:textId="77777777" w:rsidR="00A03636" w:rsidRDefault="00A03636" w:rsidP="006F5338">
      <w:pPr>
        <w:rPr>
          <w:lang w:val="en-US"/>
        </w:rPr>
      </w:pPr>
    </w:p>
    <w:p w14:paraId="30F91B95" w14:textId="77777777" w:rsidR="00A03636" w:rsidRDefault="00A03636" w:rsidP="006F5338">
      <w:pPr>
        <w:rPr>
          <w:lang w:val="en-US"/>
        </w:rPr>
      </w:pPr>
    </w:p>
    <w:p w14:paraId="2F779B6D" w14:textId="77777777" w:rsidR="00A03636" w:rsidRDefault="00A03636" w:rsidP="006F5338">
      <w:pPr>
        <w:rPr>
          <w:lang w:val="en-US"/>
        </w:rPr>
      </w:pPr>
    </w:p>
    <w:p w14:paraId="7D1B4D9F" w14:textId="77777777" w:rsidR="00A03636" w:rsidRDefault="00A03636" w:rsidP="006F5338">
      <w:pPr>
        <w:rPr>
          <w:lang w:val="en-US"/>
        </w:rPr>
      </w:pPr>
    </w:p>
    <w:p w14:paraId="41CB8CE5" w14:textId="77777777" w:rsidR="00A03636" w:rsidRDefault="00A03636" w:rsidP="006F5338">
      <w:pPr>
        <w:rPr>
          <w:lang w:val="en-US"/>
        </w:rPr>
      </w:pPr>
    </w:p>
    <w:p w14:paraId="46FCBED7" w14:textId="77777777" w:rsidR="00A03636" w:rsidRDefault="00A03636" w:rsidP="006F5338">
      <w:pPr>
        <w:rPr>
          <w:lang w:val="en-US"/>
        </w:rPr>
      </w:pPr>
    </w:p>
    <w:p w14:paraId="4A1EA2FF" w14:textId="77777777" w:rsidR="00A03636" w:rsidRDefault="00A03636" w:rsidP="006F5338">
      <w:pPr>
        <w:rPr>
          <w:lang w:val="en-US"/>
        </w:rPr>
      </w:pPr>
    </w:p>
    <w:p w14:paraId="6D5B5B6A" w14:textId="538C3127" w:rsidR="00C27C05" w:rsidRPr="005B11C1" w:rsidRDefault="00C27C05" w:rsidP="00C27C05">
      <w:pPr>
        <w:pStyle w:val="PSETableCaption"/>
        <w:jc w:val="center"/>
      </w:pPr>
      <w:r w:rsidRPr="00B24F42">
        <w:rPr>
          <w:b/>
          <w:bCs/>
        </w:rPr>
        <w:lastRenderedPageBreak/>
        <w:t xml:space="preserve">Table </w:t>
      </w:r>
      <w:r>
        <w:rPr>
          <w:b/>
          <w:bCs/>
        </w:rPr>
        <w:t>S</w:t>
      </w:r>
      <w:r w:rsidR="00A03636">
        <w:rPr>
          <w:b/>
          <w:bCs/>
        </w:rPr>
        <w:t>4</w:t>
      </w:r>
      <w:r w:rsidRPr="00B24F42">
        <w:rPr>
          <w:b/>
          <w:bCs/>
        </w:rPr>
        <w:t xml:space="preserve">: </w:t>
      </w:r>
      <w:r>
        <w:t xml:space="preserve">Small-scale MEA data points </w:t>
      </w:r>
    </w:p>
    <w:tbl>
      <w:tblPr>
        <w:tblStyle w:val="MDPI41threelinetable"/>
        <w:tblpPr w:leftFromText="180" w:rightFromText="180" w:vertAnchor="text" w:horzAnchor="margin" w:tblpXSpec="center" w:tblpY="44"/>
        <w:tblW w:w="7110" w:type="dxa"/>
        <w:jc w:val="left"/>
        <w:tblLook w:val="04A0" w:firstRow="1" w:lastRow="0" w:firstColumn="1" w:lastColumn="0" w:noHBand="0" w:noVBand="1"/>
      </w:tblPr>
      <w:tblGrid>
        <w:gridCol w:w="2694"/>
        <w:gridCol w:w="2076"/>
        <w:gridCol w:w="2340"/>
      </w:tblGrid>
      <w:tr w:rsidR="00C27C05" w:rsidRPr="005C3E77" w14:paraId="06AF53E0" w14:textId="77777777" w:rsidTr="00592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  <w:jc w:val="left"/>
        </w:trPr>
        <w:tc>
          <w:tcPr>
            <w:tcW w:w="2694" w:type="dxa"/>
            <w:tcBorders>
              <w:top w:val="single" w:sz="2" w:space="0" w:color="auto"/>
            </w:tcBorders>
            <w:hideMark/>
          </w:tcPr>
          <w:p w14:paraId="64CEF3CE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CO</w:t>
            </w:r>
            <w:r w:rsidRPr="009E1314">
              <w:rPr>
                <w:rFonts w:asciiTheme="minorHAnsi" w:hAnsiTheme="minorHAnsi"/>
                <w:vertAlign w:val="subscript"/>
              </w:rPr>
              <w:t>2</w:t>
            </w:r>
            <w:r w:rsidRPr="009E1314">
              <w:rPr>
                <w:rFonts w:asciiTheme="minorHAnsi" w:hAnsiTheme="minorHAnsi"/>
              </w:rPr>
              <w:t xml:space="preserve"> concentration [mol%]</w:t>
            </w:r>
          </w:p>
        </w:tc>
        <w:tc>
          <w:tcPr>
            <w:tcW w:w="2076" w:type="dxa"/>
            <w:tcBorders>
              <w:top w:val="single" w:sz="2" w:space="0" w:color="auto"/>
            </w:tcBorders>
            <w:hideMark/>
          </w:tcPr>
          <w:p w14:paraId="726C213D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Gas flow rates [Nm</w:t>
            </w:r>
            <w:r w:rsidRPr="006C0273">
              <w:rPr>
                <w:rFonts w:asciiTheme="minorHAnsi" w:hAnsiTheme="minorHAnsi"/>
                <w:color w:val="auto"/>
                <w:vertAlign w:val="superscript"/>
              </w:rPr>
              <w:t>3</w:t>
            </w:r>
            <w:r w:rsidRPr="006C0273">
              <w:rPr>
                <w:rFonts w:asciiTheme="minorHAnsi" w:hAnsiTheme="minorHAnsi"/>
                <w:color w:val="auto"/>
              </w:rPr>
              <w:t>/h]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39442795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Capture scale [kt/y]</w:t>
            </w:r>
          </w:p>
        </w:tc>
      </w:tr>
      <w:tr w:rsidR="00592879" w:rsidRPr="005C3E77" w14:paraId="7576EC0B" w14:textId="77777777" w:rsidTr="007E14B6">
        <w:trPr>
          <w:trHeight w:val="255"/>
          <w:jc w:val="left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0D746C20" w14:textId="224CFA22" w:rsidR="00592879" w:rsidRPr="00592879" w:rsidRDefault="00592879" w:rsidP="007E14B6">
            <w:pPr>
              <w:rPr>
                <w:rFonts w:asciiTheme="minorHAnsi" w:hAnsiTheme="minorHAnsi"/>
              </w:rPr>
            </w:pPr>
            <w:r w:rsidRPr="00592879">
              <w:rPr>
                <w:rFonts w:asciiTheme="minorHAnsi" w:hAnsiTheme="minorHAnsi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bottom w:val="nil"/>
            </w:tcBorders>
          </w:tcPr>
          <w:p w14:paraId="4664CD15" w14:textId="4B5D592E" w:rsidR="00592879" w:rsidRPr="00592879" w:rsidRDefault="00592879" w:rsidP="00F20271">
            <w:pPr>
              <w:jc w:val="right"/>
              <w:rPr>
                <w:rFonts w:asciiTheme="minorHAnsi" w:hAnsiTheme="minorHAnsi"/>
              </w:rPr>
            </w:pPr>
            <w:r w:rsidRPr="00592879">
              <w:rPr>
                <w:rFonts w:asciiTheme="minorHAnsi" w:hAnsiTheme="minorHAnsi"/>
              </w:rPr>
              <w:t>12 910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241C8715" w14:textId="5F1FC745" w:rsidR="00592879" w:rsidRPr="00592879" w:rsidRDefault="00592879" w:rsidP="00F20271">
            <w:pPr>
              <w:rPr>
                <w:rFonts w:asciiTheme="minorHAnsi" w:hAnsiTheme="minorHAnsi"/>
              </w:rPr>
            </w:pPr>
            <w:r w:rsidRPr="00592879">
              <w:rPr>
                <w:rFonts w:asciiTheme="minorHAnsi" w:hAnsiTheme="minorHAnsi"/>
              </w:rPr>
              <w:t>10</w:t>
            </w:r>
          </w:p>
        </w:tc>
      </w:tr>
      <w:tr w:rsidR="00592879" w:rsidRPr="005C3E77" w14:paraId="3A8E8413" w14:textId="77777777" w:rsidTr="007E14B6">
        <w:trPr>
          <w:trHeight w:val="255"/>
          <w:jc w:val="left"/>
        </w:trPr>
        <w:tc>
          <w:tcPr>
            <w:tcW w:w="2694" w:type="dxa"/>
            <w:vMerge/>
            <w:hideMark/>
          </w:tcPr>
          <w:p w14:paraId="0F317C90" w14:textId="07C16BB0" w:rsidR="00592879" w:rsidRPr="009E1314" w:rsidRDefault="00592879" w:rsidP="00F20271">
            <w:pPr>
              <w:rPr>
                <w:rFonts w:asciiTheme="minorHAnsi" w:hAnsiTheme="minorHAnsi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78845F06" w14:textId="77777777" w:rsidR="00592879" w:rsidRPr="006C0273" w:rsidRDefault="00592879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40 345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093E6AA9" w14:textId="77777777" w:rsidR="00592879" w:rsidRPr="006C0273" w:rsidRDefault="00592879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31</w:t>
            </w:r>
          </w:p>
        </w:tc>
      </w:tr>
      <w:tr w:rsidR="00592879" w:rsidRPr="005C3E77" w14:paraId="12EDEE25" w14:textId="77777777" w:rsidTr="007E14B6">
        <w:trPr>
          <w:trHeight w:val="255"/>
          <w:jc w:val="left"/>
        </w:trPr>
        <w:tc>
          <w:tcPr>
            <w:tcW w:w="2694" w:type="dxa"/>
            <w:vMerge/>
          </w:tcPr>
          <w:p w14:paraId="086DACF7" w14:textId="77777777" w:rsidR="00592879" w:rsidRPr="009E1314" w:rsidRDefault="00592879" w:rsidP="00F20271">
            <w:pPr>
              <w:rPr>
                <w:rFonts w:asciiTheme="minorHAnsi" w:hAnsiTheme="minorHAnsi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72912DF5" w14:textId="77777777" w:rsidR="00592879" w:rsidRPr="006C0273" w:rsidRDefault="00592879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80 690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69D12FA" w14:textId="77777777" w:rsidR="00592879" w:rsidRPr="006C0273" w:rsidRDefault="00592879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62</w:t>
            </w:r>
          </w:p>
        </w:tc>
      </w:tr>
      <w:tr w:rsidR="00592879" w:rsidRPr="005C3E77" w14:paraId="04788D9D" w14:textId="77777777" w:rsidTr="007E14B6">
        <w:trPr>
          <w:trHeight w:val="255"/>
          <w:jc w:val="left"/>
        </w:trPr>
        <w:tc>
          <w:tcPr>
            <w:tcW w:w="2694" w:type="dxa"/>
            <w:vMerge/>
            <w:tcBorders>
              <w:bottom w:val="nil"/>
            </w:tcBorders>
          </w:tcPr>
          <w:p w14:paraId="4CD5B571" w14:textId="77777777" w:rsidR="00592879" w:rsidRPr="009E1314" w:rsidRDefault="00592879" w:rsidP="00F20271">
            <w:pPr>
              <w:rPr>
                <w:rFonts w:asciiTheme="minorHAnsi" w:hAnsiTheme="minorHAnsi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3D9E8C23" w14:textId="77777777" w:rsidR="00592879" w:rsidRPr="006C0273" w:rsidRDefault="00592879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127 490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0672FDA0" w14:textId="77777777" w:rsidR="00592879" w:rsidRPr="006C0273" w:rsidRDefault="00592879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99</w:t>
            </w:r>
          </w:p>
        </w:tc>
      </w:tr>
      <w:tr w:rsidR="00C27C05" w:rsidRPr="005C3E77" w14:paraId="403A4425" w14:textId="77777777" w:rsidTr="00F20271">
        <w:trPr>
          <w:trHeight w:val="255"/>
          <w:jc w:val="left"/>
        </w:trPr>
        <w:tc>
          <w:tcPr>
            <w:tcW w:w="2694" w:type="dxa"/>
            <w:vMerge w:val="restart"/>
            <w:tcBorders>
              <w:top w:val="nil"/>
              <w:bottom w:val="nil"/>
            </w:tcBorders>
            <w:hideMark/>
          </w:tcPr>
          <w:p w14:paraId="1FDD7323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11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0D96DAE9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18 559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F58E446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33</w:t>
            </w:r>
          </w:p>
        </w:tc>
      </w:tr>
      <w:tr w:rsidR="00C27C05" w:rsidRPr="005C3E77" w14:paraId="163E03BE" w14:textId="77777777" w:rsidTr="00F20271">
        <w:trPr>
          <w:trHeight w:val="255"/>
          <w:jc w:val="left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14:paraId="16551CE1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5A41AA9F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40 345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43B6929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73</w:t>
            </w:r>
          </w:p>
        </w:tc>
      </w:tr>
      <w:tr w:rsidR="00C27C05" w:rsidRPr="005C3E77" w14:paraId="30A8E49F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64224C30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13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12D1C82C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45 187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4F907B2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91</w:t>
            </w:r>
          </w:p>
        </w:tc>
      </w:tr>
      <w:tr w:rsidR="00C27C05" w:rsidRPr="005C3E77" w14:paraId="66AE91FC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5A578100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15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69FCC3A6" w14:textId="16B79DFC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16</w:t>
            </w:r>
            <w:r w:rsidR="006C0ECB" w:rsidRPr="006C0273">
              <w:rPr>
                <w:rFonts w:asciiTheme="minorHAnsi" w:hAnsiTheme="minorHAnsi"/>
                <w:color w:val="auto"/>
              </w:rPr>
              <w:t xml:space="preserve"> </w:t>
            </w:r>
            <w:r w:rsidRPr="006C0273">
              <w:rPr>
                <w:rFonts w:asciiTheme="minorHAnsi" w:hAnsiTheme="minorHAnsi"/>
                <w:color w:val="auto"/>
              </w:rPr>
              <w:t>354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0EAB1AA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38</w:t>
            </w:r>
          </w:p>
        </w:tc>
      </w:tr>
      <w:tr w:rsidR="00C27C05" w:rsidRPr="005C3E77" w14:paraId="629EEDA7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52235879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21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3105F153" w14:textId="01DB51F6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30</w:t>
            </w:r>
            <w:r w:rsidR="006C0ECB" w:rsidRPr="006C0273">
              <w:rPr>
                <w:rFonts w:asciiTheme="minorHAnsi" w:hAnsiTheme="minorHAnsi"/>
                <w:color w:val="auto"/>
              </w:rPr>
              <w:t xml:space="preserve"> </w:t>
            </w:r>
            <w:r w:rsidRPr="006C0273">
              <w:rPr>
                <w:rFonts w:asciiTheme="minorHAnsi" w:hAnsiTheme="minorHAnsi"/>
                <w:color w:val="auto"/>
              </w:rPr>
              <w:t>125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C07CF0C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98</w:t>
            </w:r>
          </w:p>
        </w:tc>
      </w:tr>
      <w:tr w:rsidR="00C27C05" w:rsidRPr="005C3E77" w14:paraId="26CCD212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061007E6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23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300BA912" w14:textId="2873E34A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17</w:t>
            </w:r>
            <w:r w:rsidR="006C0ECB" w:rsidRPr="006C0273">
              <w:rPr>
                <w:rFonts w:asciiTheme="minorHAnsi" w:hAnsiTheme="minorHAnsi"/>
                <w:color w:val="auto"/>
              </w:rPr>
              <w:t xml:space="preserve"> </w:t>
            </w:r>
            <w:r w:rsidRPr="006C0273">
              <w:rPr>
                <w:rFonts w:asciiTheme="minorHAnsi" w:hAnsiTheme="minorHAnsi"/>
                <w:color w:val="auto"/>
              </w:rPr>
              <w:t>121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A61D8F3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61</w:t>
            </w:r>
          </w:p>
        </w:tc>
      </w:tr>
      <w:tr w:rsidR="00C27C05" w:rsidRPr="005C3E77" w14:paraId="2600744F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1AA3D6AE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30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1A6F9865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6 697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6362399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31</w:t>
            </w:r>
          </w:p>
        </w:tc>
      </w:tr>
      <w:tr w:rsidR="00C27C05" w:rsidRPr="005C3E77" w14:paraId="7E4D25CB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7A7AB85D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31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50FFB46E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11 046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CB9C87C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53</w:t>
            </w:r>
          </w:p>
        </w:tc>
      </w:tr>
      <w:tr w:rsidR="00C27C05" w:rsidRPr="005C3E77" w14:paraId="7342A79E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70AFDA8C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36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25602C2A" w14:textId="2BCD5B63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12</w:t>
            </w:r>
            <w:r w:rsidR="006C0ECB" w:rsidRPr="006C0273">
              <w:rPr>
                <w:rFonts w:asciiTheme="minorHAnsi" w:hAnsiTheme="minorHAnsi"/>
                <w:color w:val="auto"/>
              </w:rPr>
              <w:t xml:space="preserve"> </w:t>
            </w:r>
            <w:r w:rsidRPr="006C0273">
              <w:rPr>
                <w:rFonts w:asciiTheme="minorHAnsi" w:hAnsiTheme="minorHAnsi"/>
                <w:color w:val="auto"/>
              </w:rPr>
              <w:t>014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58B121C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67</w:t>
            </w:r>
          </w:p>
        </w:tc>
      </w:tr>
      <w:tr w:rsidR="00C27C05" w:rsidRPr="005C3E77" w14:paraId="1870BA29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5F254485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40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33C2805A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5 325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7C2D4F6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33</w:t>
            </w:r>
          </w:p>
        </w:tc>
      </w:tr>
      <w:tr w:rsidR="00C27C05" w:rsidRPr="005C3E77" w14:paraId="0C03B0F4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37A273BD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43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6E3EE004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12 103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D24E8CB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75</w:t>
            </w:r>
          </w:p>
        </w:tc>
      </w:tr>
      <w:tr w:rsidR="00C27C05" w:rsidRPr="005C3E77" w14:paraId="26CBA688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04A84833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47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46E691E9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3 571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6787921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26</w:t>
            </w:r>
          </w:p>
        </w:tc>
      </w:tr>
      <w:tr w:rsidR="00C27C05" w:rsidRPr="005C3E77" w14:paraId="15407D01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6DC06414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08CC47B5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13 717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FE7A8B9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100</w:t>
            </w:r>
          </w:p>
        </w:tc>
      </w:tr>
      <w:tr w:rsidR="00C27C05" w:rsidRPr="005C3E77" w14:paraId="1E035C88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660840E4" w14:textId="77777777" w:rsidR="00C27C05" w:rsidRPr="009E1314" w:rsidRDefault="00C27C05" w:rsidP="00F20271">
            <w:pPr>
              <w:rPr>
                <w:rFonts w:asciiTheme="minorHAnsi" w:hAnsiTheme="minorHAnsi"/>
              </w:rPr>
            </w:pPr>
            <w:r w:rsidRPr="009E1314">
              <w:rPr>
                <w:rFonts w:asciiTheme="minorHAnsi" w:hAnsiTheme="minorHAnsi"/>
              </w:rPr>
              <w:t>50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65AE4723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4 034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9EC0186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31</w:t>
            </w:r>
          </w:p>
        </w:tc>
      </w:tr>
      <w:tr w:rsidR="00C27C05" w:rsidRPr="005C3E77" w14:paraId="0026890D" w14:textId="77777777" w:rsidTr="00F20271">
        <w:trPr>
          <w:trHeight w:val="255"/>
          <w:jc w:val="left"/>
        </w:trPr>
        <w:tc>
          <w:tcPr>
            <w:tcW w:w="2694" w:type="dxa"/>
            <w:tcBorders>
              <w:top w:val="nil"/>
              <w:bottom w:val="single" w:sz="12" w:space="0" w:color="auto"/>
            </w:tcBorders>
          </w:tcPr>
          <w:p w14:paraId="020181A3" w14:textId="77777777" w:rsidR="00C27C05" w:rsidRPr="009E1314" w:rsidRDefault="00C27C05" w:rsidP="00F20271">
            <w:r w:rsidRPr="009E1314">
              <w:rPr>
                <w:rFonts w:asciiTheme="minorHAnsi" w:hAnsiTheme="minorHAnsi"/>
              </w:rPr>
              <w:t>50</w:t>
            </w:r>
          </w:p>
        </w:tc>
        <w:tc>
          <w:tcPr>
            <w:tcW w:w="2076" w:type="dxa"/>
            <w:tcBorders>
              <w:top w:val="nil"/>
              <w:bottom w:val="single" w:sz="12" w:space="0" w:color="auto"/>
            </w:tcBorders>
          </w:tcPr>
          <w:p w14:paraId="0ED6EE7C" w14:textId="77777777" w:rsidR="00C27C05" w:rsidRPr="006C0273" w:rsidRDefault="00C27C05" w:rsidP="00F20271">
            <w:pPr>
              <w:jc w:val="right"/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12 910</w:t>
            </w:r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</w:tcPr>
          <w:p w14:paraId="6687BB3A" w14:textId="77777777" w:rsidR="00C27C05" w:rsidRPr="006C0273" w:rsidRDefault="00C27C05" w:rsidP="00F20271">
            <w:pPr>
              <w:rPr>
                <w:rFonts w:asciiTheme="minorHAnsi" w:hAnsiTheme="minorHAnsi"/>
                <w:color w:val="auto"/>
              </w:rPr>
            </w:pPr>
            <w:r w:rsidRPr="006C0273">
              <w:rPr>
                <w:rFonts w:asciiTheme="minorHAnsi" w:hAnsiTheme="minorHAnsi"/>
                <w:color w:val="auto"/>
              </w:rPr>
              <w:t>100</w:t>
            </w:r>
          </w:p>
        </w:tc>
      </w:tr>
    </w:tbl>
    <w:p w14:paraId="760CE566" w14:textId="77777777" w:rsidR="003830EF" w:rsidRDefault="003830EF" w:rsidP="006F5338">
      <w:pPr>
        <w:rPr>
          <w:lang w:val="en-US"/>
        </w:rPr>
      </w:pPr>
    </w:p>
    <w:p w14:paraId="7D833EC3" w14:textId="77777777" w:rsidR="003830EF" w:rsidRDefault="003830EF" w:rsidP="006F5338">
      <w:pPr>
        <w:rPr>
          <w:lang w:val="en-US"/>
        </w:rPr>
      </w:pPr>
    </w:p>
    <w:p w14:paraId="0F302D6A" w14:textId="77777777" w:rsidR="000F18A9" w:rsidRDefault="000F18A9" w:rsidP="006F5338">
      <w:pPr>
        <w:rPr>
          <w:lang w:val="en-US"/>
        </w:rPr>
      </w:pPr>
    </w:p>
    <w:p w14:paraId="45123BF5" w14:textId="77777777" w:rsidR="000F18A9" w:rsidRDefault="000F18A9" w:rsidP="006F5338">
      <w:pPr>
        <w:rPr>
          <w:lang w:val="en-US"/>
        </w:rPr>
      </w:pPr>
    </w:p>
    <w:p w14:paraId="0F39BE74" w14:textId="77777777" w:rsidR="000F18A9" w:rsidRDefault="000F18A9" w:rsidP="006F5338">
      <w:pPr>
        <w:rPr>
          <w:lang w:val="en-US"/>
        </w:rPr>
      </w:pPr>
    </w:p>
    <w:p w14:paraId="42A71B43" w14:textId="77777777" w:rsidR="000F18A9" w:rsidRDefault="000F18A9" w:rsidP="006F5338">
      <w:pPr>
        <w:rPr>
          <w:lang w:val="en-US"/>
        </w:rPr>
      </w:pPr>
    </w:p>
    <w:p w14:paraId="310F4101" w14:textId="77777777" w:rsidR="000F18A9" w:rsidRDefault="000F18A9" w:rsidP="006F5338">
      <w:pPr>
        <w:rPr>
          <w:lang w:val="en-US"/>
        </w:rPr>
      </w:pPr>
    </w:p>
    <w:p w14:paraId="23BEE5D3" w14:textId="77777777" w:rsidR="000F18A9" w:rsidRDefault="000F18A9" w:rsidP="006F5338">
      <w:pPr>
        <w:rPr>
          <w:lang w:val="en-US"/>
        </w:rPr>
      </w:pPr>
    </w:p>
    <w:p w14:paraId="6A754D35" w14:textId="77777777" w:rsidR="000F18A9" w:rsidRDefault="000F18A9" w:rsidP="006F5338">
      <w:pPr>
        <w:rPr>
          <w:lang w:val="en-US"/>
        </w:rPr>
      </w:pPr>
    </w:p>
    <w:p w14:paraId="2F69E813" w14:textId="77777777" w:rsidR="000F18A9" w:rsidRDefault="000F18A9" w:rsidP="006F5338">
      <w:pPr>
        <w:rPr>
          <w:lang w:val="en-US"/>
        </w:rPr>
      </w:pPr>
    </w:p>
    <w:p w14:paraId="45FA653B" w14:textId="77777777" w:rsidR="000F18A9" w:rsidRDefault="000F18A9" w:rsidP="006F5338">
      <w:pPr>
        <w:rPr>
          <w:lang w:val="en-US"/>
        </w:rPr>
      </w:pPr>
    </w:p>
    <w:p w14:paraId="53DBE3ED" w14:textId="77777777" w:rsidR="000F18A9" w:rsidRDefault="000F18A9" w:rsidP="006F5338">
      <w:pPr>
        <w:rPr>
          <w:lang w:val="en-US"/>
        </w:rPr>
      </w:pPr>
    </w:p>
    <w:p w14:paraId="2DAAF038" w14:textId="77777777" w:rsidR="006C0102" w:rsidRDefault="006C0102" w:rsidP="006F5338">
      <w:pPr>
        <w:rPr>
          <w:lang w:val="en-US"/>
        </w:rPr>
      </w:pPr>
    </w:p>
    <w:p w14:paraId="0028FD06" w14:textId="61E4A5FB" w:rsidR="000F18A9" w:rsidRPr="005B11C1" w:rsidRDefault="000F18A9" w:rsidP="000F18A9">
      <w:pPr>
        <w:pStyle w:val="PSETableCaption"/>
        <w:jc w:val="center"/>
      </w:pPr>
      <w:r w:rsidRPr="00B24F42">
        <w:rPr>
          <w:b/>
          <w:bCs/>
        </w:rPr>
        <w:t xml:space="preserve">Table </w:t>
      </w:r>
      <w:r>
        <w:rPr>
          <w:b/>
          <w:bCs/>
        </w:rPr>
        <w:t>S</w:t>
      </w:r>
      <w:r w:rsidR="00A03636">
        <w:rPr>
          <w:b/>
          <w:bCs/>
        </w:rPr>
        <w:t>5</w:t>
      </w:r>
      <w:r w:rsidRPr="00B24F42">
        <w:rPr>
          <w:b/>
          <w:bCs/>
        </w:rPr>
        <w:t xml:space="preserve">: </w:t>
      </w:r>
      <w:r>
        <w:t xml:space="preserve">Small-scale </w:t>
      </w:r>
      <w:proofErr w:type="spellStart"/>
      <w:r w:rsidR="001B6715">
        <w:t>PolyActive</w:t>
      </w:r>
      <w:proofErr w:type="spellEnd"/>
      <w:r w:rsidR="001B6715">
        <w:t xml:space="preserve"> membrane</w:t>
      </w:r>
      <w:r>
        <w:t xml:space="preserve"> data points </w:t>
      </w:r>
    </w:p>
    <w:tbl>
      <w:tblPr>
        <w:tblStyle w:val="MDPI41threelinetable"/>
        <w:tblpPr w:leftFromText="180" w:rightFromText="180" w:vertAnchor="text" w:horzAnchor="margin" w:tblpXSpec="center" w:tblpY="44"/>
        <w:tblW w:w="7110" w:type="dxa"/>
        <w:jc w:val="left"/>
        <w:tblLook w:val="04A0" w:firstRow="1" w:lastRow="0" w:firstColumn="1" w:lastColumn="0" w:noHBand="0" w:noVBand="1"/>
      </w:tblPr>
      <w:tblGrid>
        <w:gridCol w:w="2694"/>
        <w:gridCol w:w="2076"/>
        <w:gridCol w:w="2340"/>
      </w:tblGrid>
      <w:tr w:rsidR="000F18A9" w:rsidRPr="005C3E77" w14:paraId="51BA6986" w14:textId="77777777" w:rsidTr="000F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  <w:jc w:val="left"/>
        </w:trPr>
        <w:tc>
          <w:tcPr>
            <w:tcW w:w="2694" w:type="dxa"/>
            <w:tcBorders>
              <w:top w:val="single" w:sz="2" w:space="0" w:color="auto"/>
            </w:tcBorders>
            <w:hideMark/>
          </w:tcPr>
          <w:p w14:paraId="3F7F746B" w14:textId="77777777" w:rsidR="000F18A9" w:rsidRPr="001B6715" w:rsidRDefault="000F18A9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CO</w:t>
            </w:r>
            <w:r w:rsidRPr="001B6715">
              <w:rPr>
                <w:rFonts w:asciiTheme="minorHAnsi" w:hAnsiTheme="minorHAnsi"/>
                <w:vertAlign w:val="subscript"/>
              </w:rPr>
              <w:t>2</w:t>
            </w:r>
            <w:r w:rsidRPr="001B6715">
              <w:rPr>
                <w:rFonts w:asciiTheme="minorHAnsi" w:hAnsiTheme="minorHAnsi"/>
              </w:rPr>
              <w:t xml:space="preserve"> concentration [mol%]</w:t>
            </w:r>
          </w:p>
        </w:tc>
        <w:tc>
          <w:tcPr>
            <w:tcW w:w="2076" w:type="dxa"/>
            <w:tcBorders>
              <w:top w:val="single" w:sz="2" w:space="0" w:color="auto"/>
            </w:tcBorders>
            <w:hideMark/>
          </w:tcPr>
          <w:p w14:paraId="17A21147" w14:textId="77777777" w:rsidR="000F18A9" w:rsidRPr="001B6715" w:rsidRDefault="000F18A9" w:rsidP="009E1314">
            <w:pPr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Gas flow rates [Nm</w:t>
            </w:r>
            <w:r w:rsidRPr="001B6715">
              <w:rPr>
                <w:rFonts w:asciiTheme="minorHAnsi" w:hAnsiTheme="minorHAnsi"/>
                <w:color w:val="auto"/>
                <w:vertAlign w:val="superscript"/>
              </w:rPr>
              <w:t>3</w:t>
            </w:r>
            <w:r w:rsidRPr="001B6715">
              <w:rPr>
                <w:rFonts w:asciiTheme="minorHAnsi" w:hAnsiTheme="minorHAnsi"/>
                <w:color w:val="auto"/>
              </w:rPr>
              <w:t>/h]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3F7DA1F1" w14:textId="77777777" w:rsidR="000F18A9" w:rsidRPr="001B6715" w:rsidRDefault="000F18A9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Capture scale [kt/y]</w:t>
            </w:r>
          </w:p>
        </w:tc>
      </w:tr>
      <w:tr w:rsidR="006C0ECB" w:rsidRPr="005C3E77" w14:paraId="3BC793E9" w14:textId="77777777" w:rsidTr="002643F6">
        <w:trPr>
          <w:trHeight w:val="255"/>
          <w:jc w:val="left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hideMark/>
          </w:tcPr>
          <w:p w14:paraId="776F24C0" w14:textId="77777777" w:rsidR="006C0ECB" w:rsidRPr="001B6715" w:rsidRDefault="006C0ECB" w:rsidP="006C0ECB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bottom w:val="nil"/>
            </w:tcBorders>
            <w:vAlign w:val="bottom"/>
          </w:tcPr>
          <w:p w14:paraId="7DE1C93D" w14:textId="07C17FD1" w:rsidR="006C0ECB" w:rsidRPr="001B6715" w:rsidRDefault="006C0ECB" w:rsidP="006C0ECB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13 015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59F23427" w14:textId="2543D197" w:rsidR="006C0ECB" w:rsidRPr="001B6715" w:rsidRDefault="006C0ECB" w:rsidP="006C0ECB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10</w:t>
            </w:r>
          </w:p>
        </w:tc>
      </w:tr>
      <w:tr w:rsidR="006C0ECB" w:rsidRPr="005C3E77" w14:paraId="734BE5DE" w14:textId="77777777" w:rsidTr="002643F6">
        <w:trPr>
          <w:trHeight w:val="255"/>
          <w:jc w:val="left"/>
        </w:trPr>
        <w:tc>
          <w:tcPr>
            <w:tcW w:w="2694" w:type="dxa"/>
            <w:vMerge/>
          </w:tcPr>
          <w:p w14:paraId="72822004" w14:textId="77777777" w:rsidR="006C0ECB" w:rsidRPr="001B6715" w:rsidRDefault="006C0ECB" w:rsidP="006C0ECB">
            <w:pPr>
              <w:rPr>
                <w:rFonts w:asciiTheme="minorHAnsi" w:hAnsiTheme="minorHAnsi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05133982" w14:textId="2CF085FA" w:rsidR="006C0ECB" w:rsidRPr="001B6715" w:rsidRDefault="006C0ECB" w:rsidP="006C0ECB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40 345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D91F409" w14:textId="4C59217D" w:rsidR="006C0ECB" w:rsidRPr="001B6715" w:rsidRDefault="006C0ECB" w:rsidP="006C0ECB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31</w:t>
            </w:r>
          </w:p>
        </w:tc>
      </w:tr>
      <w:tr w:rsidR="006C0ECB" w:rsidRPr="005C3E77" w14:paraId="5E575623" w14:textId="77777777" w:rsidTr="002643F6">
        <w:trPr>
          <w:trHeight w:val="255"/>
          <w:jc w:val="left"/>
        </w:trPr>
        <w:tc>
          <w:tcPr>
            <w:tcW w:w="2694" w:type="dxa"/>
            <w:vMerge/>
          </w:tcPr>
          <w:p w14:paraId="41BE655E" w14:textId="77777777" w:rsidR="006C0ECB" w:rsidRPr="001B6715" w:rsidRDefault="006C0ECB" w:rsidP="006C0ECB">
            <w:pPr>
              <w:rPr>
                <w:rFonts w:asciiTheme="minorHAnsi" w:hAnsiTheme="minorHAnsi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40439A65" w14:textId="25511CB7" w:rsidR="006C0ECB" w:rsidRPr="001B6715" w:rsidRDefault="006C0ECB" w:rsidP="006C0ECB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80 690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C86E6F6" w14:textId="7B075A2A" w:rsidR="006C0ECB" w:rsidRPr="001B6715" w:rsidRDefault="006C0ECB" w:rsidP="006C0ECB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63</w:t>
            </w:r>
          </w:p>
        </w:tc>
      </w:tr>
      <w:tr w:rsidR="006C0ECB" w:rsidRPr="005C3E77" w14:paraId="1DE4CD8B" w14:textId="77777777" w:rsidTr="002643F6">
        <w:trPr>
          <w:trHeight w:val="255"/>
          <w:jc w:val="left"/>
        </w:trPr>
        <w:tc>
          <w:tcPr>
            <w:tcW w:w="2694" w:type="dxa"/>
            <w:vMerge/>
            <w:tcBorders>
              <w:bottom w:val="nil"/>
            </w:tcBorders>
            <w:hideMark/>
          </w:tcPr>
          <w:p w14:paraId="7E43E0AA" w14:textId="70AEFAE9" w:rsidR="006C0ECB" w:rsidRPr="001B6715" w:rsidRDefault="006C0ECB" w:rsidP="006C0ECB">
            <w:pPr>
              <w:rPr>
                <w:rFonts w:asciiTheme="minorHAnsi" w:hAnsiTheme="minorHAnsi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0D0EC655" w14:textId="33C75D44" w:rsidR="006C0ECB" w:rsidRPr="001B6715" w:rsidRDefault="006C0ECB" w:rsidP="006C0ECB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130 146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0ADB6600" w14:textId="03C55808" w:rsidR="006C0ECB" w:rsidRPr="001B6715" w:rsidRDefault="006C0ECB" w:rsidP="006C0ECB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100</w:t>
            </w:r>
          </w:p>
        </w:tc>
      </w:tr>
      <w:tr w:rsidR="000F18A9" w:rsidRPr="005C3E77" w14:paraId="195B8B74" w14:textId="77777777" w:rsidTr="009E131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6DAE022B" w14:textId="73C147ED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6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4796200F" w14:textId="0BA6A4A5" w:rsidR="000F18A9" w:rsidRPr="001B6715" w:rsidRDefault="001B6715" w:rsidP="00C27C0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105 411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558C3C7" w14:textId="3098482E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98</w:t>
            </w:r>
          </w:p>
        </w:tc>
      </w:tr>
      <w:tr w:rsidR="000F18A9" w:rsidRPr="005C3E77" w14:paraId="2702C324" w14:textId="77777777" w:rsidTr="009E131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62329FD1" w14:textId="6B8096D6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12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4B2A0CA9" w14:textId="4F63AA3B" w:rsidR="000F18A9" w:rsidRPr="001B6715" w:rsidRDefault="001B6715" w:rsidP="00C27C0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38 195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7349347" w14:textId="67E8ADAB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71</w:t>
            </w:r>
          </w:p>
        </w:tc>
      </w:tr>
      <w:tr w:rsidR="000F18A9" w:rsidRPr="005C3E77" w14:paraId="49E19506" w14:textId="77777777" w:rsidTr="009E131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2723CCEE" w14:textId="5268F7D0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13.5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237989E6" w14:textId="7AF3EA8C" w:rsidR="000F18A9" w:rsidRPr="001B6715" w:rsidRDefault="001B6715" w:rsidP="00C27C0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14 928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08AC0251" w14:textId="0F1EC17C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31</w:t>
            </w:r>
          </w:p>
        </w:tc>
      </w:tr>
      <w:tr w:rsidR="000F18A9" w:rsidRPr="005C3E77" w14:paraId="749353E7" w14:textId="77777777" w:rsidTr="009E131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57B6D195" w14:textId="2F969769" w:rsidR="000F18A9" w:rsidRPr="001B6715" w:rsidRDefault="000F18A9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2</w:t>
            </w:r>
            <w:r w:rsidR="001B6715" w:rsidRPr="001B6715">
              <w:rPr>
                <w:rFonts w:asciiTheme="minorHAnsi" w:hAnsiTheme="minorHAnsi"/>
              </w:rPr>
              <w:t>3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1B931EDE" w14:textId="1824C10F" w:rsidR="000F18A9" w:rsidRPr="001B6715" w:rsidRDefault="001B6715" w:rsidP="00C27C0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16 279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613E70A" w14:textId="6730E73C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58</w:t>
            </w:r>
          </w:p>
        </w:tc>
      </w:tr>
      <w:tr w:rsidR="000F18A9" w:rsidRPr="005C3E77" w14:paraId="23C40B5F" w14:textId="77777777" w:rsidTr="009E131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77BBEC96" w14:textId="685F113D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30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7F703352" w14:textId="76977E5D" w:rsidR="000F18A9" w:rsidRPr="001B6715" w:rsidRDefault="001B6715" w:rsidP="00C27C0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3 228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0E6DC24F" w14:textId="03140978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15</w:t>
            </w:r>
          </w:p>
        </w:tc>
      </w:tr>
      <w:tr w:rsidR="000F18A9" w:rsidRPr="005C3E77" w14:paraId="7DEDBFC8" w14:textId="77777777" w:rsidTr="009E131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0D2EE3CA" w14:textId="77777777" w:rsidR="000F18A9" w:rsidRPr="001B6715" w:rsidRDefault="000F18A9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30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5AE57746" w14:textId="5DD0481E" w:rsidR="000F18A9" w:rsidRPr="001B6715" w:rsidRDefault="001B6715" w:rsidP="00C27C0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3 443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301DAFCB" w14:textId="28C7459C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16</w:t>
            </w:r>
          </w:p>
        </w:tc>
      </w:tr>
      <w:tr w:rsidR="000F18A9" w:rsidRPr="005C3E77" w14:paraId="5F962731" w14:textId="77777777" w:rsidTr="009E131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4D3F32C5" w14:textId="2D52B500" w:rsidR="000F18A9" w:rsidRPr="001B6715" w:rsidRDefault="009E1314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3</w:t>
            </w:r>
            <w:r w:rsidR="001B6715" w:rsidRPr="001B6715">
              <w:rPr>
                <w:rFonts w:asciiTheme="minorHAnsi" w:hAnsiTheme="minorHAnsi"/>
              </w:rPr>
              <w:t>0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0C8B9758" w14:textId="0EC7E33D" w:rsidR="000F18A9" w:rsidRPr="001B6715" w:rsidRDefault="001B6715" w:rsidP="00C27C0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6 455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239D466" w14:textId="5829BEF6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30</w:t>
            </w:r>
          </w:p>
        </w:tc>
      </w:tr>
      <w:tr w:rsidR="000F18A9" w:rsidRPr="005C3E77" w14:paraId="70C5C48B" w14:textId="77777777" w:rsidTr="009E131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701337BE" w14:textId="29B667CA" w:rsidR="000F18A9" w:rsidRPr="001B6715" w:rsidRDefault="009E1314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3</w:t>
            </w:r>
            <w:r w:rsidR="001B6715" w:rsidRPr="001B6715">
              <w:rPr>
                <w:rFonts w:asciiTheme="minorHAnsi" w:hAnsiTheme="minorHAnsi"/>
              </w:rPr>
              <w:t>5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2C4E6252" w14:textId="3004F52A" w:rsidR="000F18A9" w:rsidRPr="001B6715" w:rsidRDefault="001B6715" w:rsidP="00C27C0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/>
                <w:color w:val="auto"/>
              </w:rPr>
              <w:t>14 202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561EA5A6" w14:textId="512F6814" w:rsidR="000F18A9" w:rsidRPr="001B6715" w:rsidRDefault="001B6715" w:rsidP="009E1314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77</w:t>
            </w:r>
          </w:p>
        </w:tc>
      </w:tr>
      <w:tr w:rsidR="001B6715" w:rsidRPr="005C3E77" w14:paraId="51F9A1B7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0FAD6AD3" w14:textId="6F56E99D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42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0AE7C7D8" w14:textId="69D8911C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10 817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8EA5CDE" w14:textId="15F8DBCB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7</w:t>
            </w:r>
            <w:r>
              <w:rPr>
                <w:rFonts w:asciiTheme="minorHAnsi" w:hAnsiTheme="minorHAnsi" w:cs="Arial"/>
              </w:rPr>
              <w:t>1</w:t>
            </w:r>
          </w:p>
        </w:tc>
      </w:tr>
      <w:tr w:rsidR="001B6715" w:rsidRPr="005C3E77" w14:paraId="38B542FA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43F7C657" w14:textId="4FB83121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48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1380D319" w14:textId="254F87CD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4 304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02F113D" w14:textId="7F81EC8A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2</w:t>
            </w:r>
          </w:p>
        </w:tc>
      </w:tr>
      <w:tr w:rsidR="001B6715" w:rsidRPr="005C3E77" w14:paraId="3CAF9B8A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79969FC6" w14:textId="00136E7E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48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227C6611" w14:textId="19013E77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6 859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9646CD3" w14:textId="1465AB52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5</w:t>
            </w:r>
            <w:r>
              <w:rPr>
                <w:rFonts w:asciiTheme="minorHAnsi" w:hAnsiTheme="minorHAnsi" w:cs="Arial"/>
              </w:rPr>
              <w:t>1</w:t>
            </w:r>
          </w:p>
        </w:tc>
      </w:tr>
      <w:tr w:rsidR="001B6715" w:rsidRPr="005C3E77" w14:paraId="7C822721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36538F5D" w14:textId="300F6473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50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3EAFAD1D" w14:textId="38A3E029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4 034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4911290" w14:textId="72DB792A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1</w:t>
            </w:r>
          </w:p>
        </w:tc>
      </w:tr>
      <w:tr w:rsidR="001B6715" w:rsidRPr="005C3E77" w14:paraId="14A1F29A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02761E33" w14:textId="0BFC9584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61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08713265" w14:textId="4893D910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4 551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79A6F214" w14:textId="36E0A21C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43</w:t>
            </w:r>
          </w:p>
        </w:tc>
      </w:tr>
      <w:tr w:rsidR="001B6715" w:rsidRPr="005C3E77" w14:paraId="6C18C5C1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3BA7D206" w14:textId="42D6A8CD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64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3030F57D" w14:textId="1F173DF6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2 730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614696EC" w14:textId="4974BE75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2</w:t>
            </w:r>
            <w:r>
              <w:rPr>
                <w:rFonts w:asciiTheme="minorHAnsi" w:hAnsiTheme="minorHAnsi" w:cs="Arial"/>
              </w:rPr>
              <w:t>8</w:t>
            </w:r>
          </w:p>
        </w:tc>
      </w:tr>
      <w:tr w:rsidR="001B6715" w:rsidRPr="005C3E77" w14:paraId="09B13C33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0D677E25" w14:textId="4A2437B8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70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565EFCD3" w14:textId="7DF31CED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2 864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15160B03" w14:textId="736E0FE9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>2</w:t>
            </w:r>
          </w:p>
        </w:tc>
      </w:tr>
      <w:tr w:rsidR="001B6715" w:rsidRPr="005C3E77" w14:paraId="39C248A0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nil"/>
            </w:tcBorders>
          </w:tcPr>
          <w:p w14:paraId="5ACD7919" w14:textId="6E215536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70</w:t>
            </w:r>
          </w:p>
        </w:tc>
        <w:tc>
          <w:tcPr>
            <w:tcW w:w="2076" w:type="dxa"/>
            <w:tcBorders>
              <w:top w:val="nil"/>
              <w:bottom w:val="nil"/>
            </w:tcBorders>
            <w:vAlign w:val="bottom"/>
          </w:tcPr>
          <w:p w14:paraId="17AB8E4C" w14:textId="79A65911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8 069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2B7EC7C3" w14:textId="275F516E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8</w:t>
            </w:r>
            <w:r>
              <w:rPr>
                <w:rFonts w:asciiTheme="minorHAnsi" w:hAnsiTheme="minorHAnsi" w:cs="Arial"/>
              </w:rPr>
              <w:t>8</w:t>
            </w:r>
          </w:p>
        </w:tc>
      </w:tr>
      <w:tr w:rsidR="001B6715" w:rsidRPr="005C3E77" w14:paraId="119F08F3" w14:textId="77777777" w:rsidTr="00B45D64">
        <w:trPr>
          <w:trHeight w:val="255"/>
          <w:jc w:val="left"/>
        </w:trPr>
        <w:tc>
          <w:tcPr>
            <w:tcW w:w="2694" w:type="dxa"/>
            <w:tcBorders>
              <w:top w:val="nil"/>
              <w:bottom w:val="single" w:sz="12" w:space="0" w:color="auto"/>
            </w:tcBorders>
          </w:tcPr>
          <w:p w14:paraId="45D22BD7" w14:textId="742D9EA6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/>
              </w:rPr>
              <w:t>70</w:t>
            </w:r>
          </w:p>
        </w:tc>
        <w:tc>
          <w:tcPr>
            <w:tcW w:w="2076" w:type="dxa"/>
            <w:tcBorders>
              <w:top w:val="nil"/>
              <w:bottom w:val="single" w:sz="12" w:space="0" w:color="auto"/>
            </w:tcBorders>
            <w:vAlign w:val="bottom"/>
          </w:tcPr>
          <w:p w14:paraId="2AE8B3A5" w14:textId="5B401BCE" w:rsidR="001B6715" w:rsidRPr="001B6715" w:rsidRDefault="001B6715" w:rsidP="001B6715">
            <w:pPr>
              <w:jc w:val="right"/>
              <w:rPr>
                <w:rFonts w:asciiTheme="minorHAnsi" w:hAnsiTheme="minorHAnsi"/>
                <w:color w:val="auto"/>
              </w:rPr>
            </w:pPr>
            <w:r w:rsidRPr="001B6715">
              <w:rPr>
                <w:rFonts w:asciiTheme="minorHAnsi" w:hAnsiTheme="minorHAnsi" w:cs="Arial"/>
                <w:color w:val="auto"/>
              </w:rPr>
              <w:t>9 214</w:t>
            </w:r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  <w:vAlign w:val="bottom"/>
          </w:tcPr>
          <w:p w14:paraId="3C4080EE" w14:textId="74487BD1" w:rsidR="001B6715" w:rsidRPr="001B6715" w:rsidRDefault="001B6715" w:rsidP="001B6715">
            <w:pPr>
              <w:rPr>
                <w:rFonts w:asciiTheme="minorHAnsi" w:hAnsiTheme="minorHAnsi"/>
              </w:rPr>
            </w:pPr>
            <w:r w:rsidRPr="001B6715">
              <w:rPr>
                <w:rFonts w:asciiTheme="minorHAnsi" w:hAnsiTheme="minorHAnsi" w:cs="Arial"/>
              </w:rPr>
              <w:t>100</w:t>
            </w:r>
          </w:p>
        </w:tc>
      </w:tr>
    </w:tbl>
    <w:p w14:paraId="43752569" w14:textId="77777777" w:rsidR="000F18A9" w:rsidRDefault="000F18A9" w:rsidP="006F5338">
      <w:pPr>
        <w:rPr>
          <w:lang w:val="en-US"/>
        </w:rPr>
      </w:pPr>
    </w:p>
    <w:p w14:paraId="20938CDD" w14:textId="77777777" w:rsidR="000F18A9" w:rsidRDefault="000F18A9" w:rsidP="006F5338">
      <w:pPr>
        <w:rPr>
          <w:lang w:val="en-US"/>
        </w:rPr>
      </w:pPr>
    </w:p>
    <w:p w14:paraId="3E37E171" w14:textId="77777777" w:rsidR="000F18A9" w:rsidRDefault="000F18A9" w:rsidP="006F5338">
      <w:pPr>
        <w:rPr>
          <w:lang w:val="en-US"/>
        </w:rPr>
      </w:pPr>
    </w:p>
    <w:p w14:paraId="5C39FBA7" w14:textId="77777777" w:rsidR="000F18A9" w:rsidRDefault="000F18A9" w:rsidP="006F5338">
      <w:pPr>
        <w:rPr>
          <w:lang w:val="en-US"/>
        </w:rPr>
      </w:pPr>
    </w:p>
    <w:p w14:paraId="14E94081" w14:textId="77777777" w:rsidR="000F18A9" w:rsidRDefault="000F18A9" w:rsidP="006F5338">
      <w:pPr>
        <w:rPr>
          <w:lang w:val="en-US"/>
        </w:rPr>
      </w:pPr>
    </w:p>
    <w:p w14:paraId="14E8B372" w14:textId="77777777" w:rsidR="000F18A9" w:rsidRDefault="000F18A9" w:rsidP="006F5338">
      <w:pPr>
        <w:rPr>
          <w:lang w:val="en-US"/>
        </w:rPr>
      </w:pPr>
    </w:p>
    <w:p w14:paraId="26F073F5" w14:textId="77777777" w:rsidR="000F18A9" w:rsidRDefault="000F18A9" w:rsidP="006F5338">
      <w:pPr>
        <w:rPr>
          <w:lang w:val="en-US"/>
        </w:rPr>
      </w:pPr>
    </w:p>
    <w:p w14:paraId="371E263E" w14:textId="77777777" w:rsidR="000F18A9" w:rsidRDefault="000F18A9" w:rsidP="006F5338">
      <w:pPr>
        <w:rPr>
          <w:lang w:val="en-US"/>
        </w:rPr>
      </w:pPr>
    </w:p>
    <w:p w14:paraId="1EB06607" w14:textId="77777777" w:rsidR="000F18A9" w:rsidRDefault="000F18A9" w:rsidP="006F5338">
      <w:pPr>
        <w:rPr>
          <w:lang w:val="en-US"/>
        </w:rPr>
      </w:pPr>
    </w:p>
    <w:p w14:paraId="6A17C7EE" w14:textId="77777777" w:rsidR="000F18A9" w:rsidRDefault="000F18A9" w:rsidP="006F5338">
      <w:pPr>
        <w:rPr>
          <w:lang w:val="en-US"/>
        </w:rPr>
      </w:pPr>
    </w:p>
    <w:p w14:paraId="07645AEB" w14:textId="77777777" w:rsidR="000F18A9" w:rsidRDefault="000F18A9" w:rsidP="006F5338">
      <w:pPr>
        <w:rPr>
          <w:lang w:val="en-US"/>
        </w:rPr>
      </w:pPr>
    </w:p>
    <w:p w14:paraId="22AAC136" w14:textId="77777777" w:rsidR="000F18A9" w:rsidRDefault="000F18A9" w:rsidP="006F5338">
      <w:pPr>
        <w:rPr>
          <w:lang w:val="en-US"/>
        </w:rPr>
      </w:pPr>
    </w:p>
    <w:p w14:paraId="548FF5DD" w14:textId="77777777" w:rsidR="000F18A9" w:rsidRDefault="000F18A9" w:rsidP="006F5338">
      <w:pPr>
        <w:rPr>
          <w:lang w:val="en-US"/>
        </w:rPr>
      </w:pPr>
    </w:p>
    <w:p w14:paraId="759F1843" w14:textId="388EA4BD" w:rsidR="003830EF" w:rsidRDefault="003830EF" w:rsidP="006F5338">
      <w:pPr>
        <w:rPr>
          <w:lang w:val="en-US"/>
        </w:rPr>
      </w:pPr>
    </w:p>
    <w:p w14:paraId="4B52F491" w14:textId="77777777" w:rsidR="00A03636" w:rsidRDefault="00A03636" w:rsidP="00A03636">
      <w:pPr>
        <w:rPr>
          <w:lang w:val="en-US"/>
        </w:rPr>
      </w:pPr>
    </w:p>
    <w:p w14:paraId="05A080A1" w14:textId="77777777" w:rsidR="00A03636" w:rsidRDefault="00A03636" w:rsidP="00A03636">
      <w:pPr>
        <w:rPr>
          <w:lang w:val="en-US"/>
        </w:rPr>
      </w:pPr>
    </w:p>
    <w:p w14:paraId="5AFE1EA8" w14:textId="77777777" w:rsidR="00A03636" w:rsidRPr="00A03636" w:rsidRDefault="00A03636" w:rsidP="00A03636">
      <w:pPr>
        <w:rPr>
          <w:lang w:val="en-US"/>
        </w:rPr>
      </w:pPr>
    </w:p>
    <w:p w14:paraId="4FCB9EE4" w14:textId="56827977" w:rsidR="000B32EB" w:rsidRPr="000715D2" w:rsidRDefault="000B32EB" w:rsidP="000B32EB">
      <w:pPr>
        <w:pStyle w:val="Heading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REFERENCES</w:t>
      </w:r>
    </w:p>
    <w:p w14:paraId="2421F442" w14:textId="77777777" w:rsidR="00A82D6C" w:rsidRDefault="000B32EB" w:rsidP="00A82D6C">
      <w:pPr>
        <w:pStyle w:val="Bibliography"/>
      </w:pPr>
      <w:r>
        <w:t>Wang, Y., 2020. Techno-economic assessment of hybrid post-combustion carbon capture systems in coal-fired power plants and steel plants.</w:t>
      </w:r>
    </w:p>
    <w:p w14:paraId="66008763" w14:textId="57235079" w:rsidR="000B32EB" w:rsidRDefault="00A82D6C" w:rsidP="00595A89">
      <w:pPr>
        <w:pStyle w:val="Bibliography"/>
      </w:pPr>
      <w:r w:rsidRPr="00454685">
        <w:t>IEAGHG, (2024), Baseline Techno-Economic Assessment of Small-Scale Carbon Capture for Industrial and Power Systems, IEAGHG Technical Report 2024-03.</w:t>
      </w:r>
    </w:p>
    <w:p w14:paraId="2CCA30E2" w14:textId="77777777" w:rsidR="006C0102" w:rsidRDefault="006C0102" w:rsidP="006C0102">
      <w:pPr>
        <w:pStyle w:val="Bibliography"/>
      </w:pPr>
      <w:r>
        <w:t xml:space="preserve">Zhai, H., 2019. Advanced membranes and learning scale required for cost-effective post-combustion carbon capture. </w:t>
      </w:r>
      <w:proofErr w:type="spellStart"/>
      <w:r>
        <w:t>Iscience</w:t>
      </w:r>
      <w:proofErr w:type="spellEnd"/>
      <w:r>
        <w:t xml:space="preserve"> 13, 440–451.</w:t>
      </w:r>
    </w:p>
    <w:p w14:paraId="0FBEFBAF" w14:textId="77777777" w:rsidR="006C0102" w:rsidRPr="006C0102" w:rsidRDefault="006C0102" w:rsidP="006C0102"/>
    <w:sectPr w:rsidR="006C0102" w:rsidRPr="006C0102" w:rsidSect="00CB3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rmorant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FD"/>
    <w:multiLevelType w:val="hybridMultilevel"/>
    <w:tmpl w:val="D250C8B6"/>
    <w:lvl w:ilvl="0" w:tplc="A7B42988">
      <w:start w:val="1"/>
      <w:numFmt w:val="decimal"/>
      <w:pStyle w:val="PSECitation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AA9"/>
    <w:multiLevelType w:val="hybridMultilevel"/>
    <w:tmpl w:val="174E8988"/>
    <w:lvl w:ilvl="0" w:tplc="1CA41BE8">
      <w:start w:val="7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136FC"/>
    <w:multiLevelType w:val="hybridMultilevel"/>
    <w:tmpl w:val="B332301E"/>
    <w:lvl w:ilvl="0" w:tplc="B5424C5C">
      <w:start w:val="7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675133">
    <w:abstractNumId w:val="2"/>
  </w:num>
  <w:num w:numId="2" w16cid:durableId="573005282">
    <w:abstractNumId w:val="1"/>
  </w:num>
  <w:num w:numId="3" w16cid:durableId="208602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38"/>
    <w:rsid w:val="0000019C"/>
    <w:rsid w:val="00012576"/>
    <w:rsid w:val="00056C9B"/>
    <w:rsid w:val="000715D2"/>
    <w:rsid w:val="000B32EB"/>
    <w:rsid w:val="000F18A9"/>
    <w:rsid w:val="001B6715"/>
    <w:rsid w:val="001E22F3"/>
    <w:rsid w:val="00245893"/>
    <w:rsid w:val="00250089"/>
    <w:rsid w:val="002F495A"/>
    <w:rsid w:val="003151DA"/>
    <w:rsid w:val="00374E3C"/>
    <w:rsid w:val="00375478"/>
    <w:rsid w:val="003830EF"/>
    <w:rsid w:val="003B58A7"/>
    <w:rsid w:val="0049499F"/>
    <w:rsid w:val="00563E20"/>
    <w:rsid w:val="00573285"/>
    <w:rsid w:val="00592879"/>
    <w:rsid w:val="00595A89"/>
    <w:rsid w:val="005B11C1"/>
    <w:rsid w:val="00612B71"/>
    <w:rsid w:val="006C0102"/>
    <w:rsid w:val="006C0273"/>
    <w:rsid w:val="006C0ECB"/>
    <w:rsid w:val="006F5338"/>
    <w:rsid w:val="00757217"/>
    <w:rsid w:val="00766443"/>
    <w:rsid w:val="0078697A"/>
    <w:rsid w:val="008721F8"/>
    <w:rsid w:val="008D447E"/>
    <w:rsid w:val="008E336D"/>
    <w:rsid w:val="00967942"/>
    <w:rsid w:val="009E1314"/>
    <w:rsid w:val="009E5A09"/>
    <w:rsid w:val="00A03636"/>
    <w:rsid w:val="00A76D25"/>
    <w:rsid w:val="00A82D6C"/>
    <w:rsid w:val="00A87410"/>
    <w:rsid w:val="00C27C05"/>
    <w:rsid w:val="00C32F5B"/>
    <w:rsid w:val="00CB33B6"/>
    <w:rsid w:val="00D574B7"/>
    <w:rsid w:val="00DC33C6"/>
    <w:rsid w:val="00E43405"/>
    <w:rsid w:val="00E65674"/>
    <w:rsid w:val="00E67EE6"/>
    <w:rsid w:val="00E86425"/>
    <w:rsid w:val="00F5576C"/>
    <w:rsid w:val="00F67A38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F811E"/>
  <w15:chartTrackingRefBased/>
  <w15:docId w15:val="{9EE695CA-A9B5-4774-8938-227ED07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38"/>
    <w:rPr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3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3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3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33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33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33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33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33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33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F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33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33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F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33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F5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33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F5338"/>
    <w:rPr>
      <w:b/>
      <w:bCs/>
      <w:smallCaps/>
      <w:color w:val="0F4761" w:themeColor="accent1" w:themeShade="BF"/>
      <w:spacing w:val="5"/>
    </w:rPr>
  </w:style>
  <w:style w:type="table" w:customStyle="1" w:styleId="MDPI41threelinetable">
    <w:name w:val="MDPI_4.1_three_line_table"/>
    <w:basedOn w:val="TableNormal"/>
    <w:uiPriority w:val="99"/>
    <w:rsid w:val="009E5A09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styleId="NoSpacing">
    <w:name w:val="No Spacing"/>
    <w:uiPriority w:val="1"/>
    <w:qFormat/>
    <w:rsid w:val="003B58A7"/>
    <w:pPr>
      <w:spacing w:after="0" w:line="240" w:lineRule="auto"/>
    </w:pPr>
    <w:rPr>
      <w:sz w:val="18"/>
      <w:lang w:val="en-GB"/>
    </w:rPr>
  </w:style>
  <w:style w:type="paragraph" w:customStyle="1" w:styleId="PSEText">
    <w:name w:val="PSE_Text"/>
    <w:basedOn w:val="Normal"/>
    <w:link w:val="PSETextChar"/>
    <w:qFormat/>
    <w:rsid w:val="00E65674"/>
    <w:pPr>
      <w:widowControl w:val="0"/>
      <w:tabs>
        <w:tab w:val="left" w:pos="425"/>
      </w:tabs>
      <w:autoSpaceDE w:val="0"/>
      <w:autoSpaceDN w:val="0"/>
      <w:adjustRightInd w:val="0"/>
      <w:spacing w:after="0" w:line="264" w:lineRule="auto"/>
      <w:ind w:firstLine="425"/>
      <w:jc w:val="both"/>
    </w:pPr>
    <w:rPr>
      <w:rFonts w:ascii="Inter" w:hAnsi="Inter" w:cs="Cormorant Medium"/>
      <w:color w:val="000000"/>
      <w:szCs w:val="20"/>
      <w:lang w:val="en-CA"/>
      <w14:ligatures w14:val="none"/>
      <w14:numForm w14:val="lining"/>
    </w:rPr>
  </w:style>
  <w:style w:type="paragraph" w:customStyle="1" w:styleId="PSETableCaption">
    <w:name w:val="PSE_TableCaption"/>
    <w:basedOn w:val="PSEText"/>
    <w:next w:val="PSETableContent"/>
    <w:qFormat/>
    <w:rsid w:val="00E65674"/>
    <w:pPr>
      <w:spacing w:before="240" w:after="120"/>
      <w:ind w:firstLine="0"/>
    </w:pPr>
  </w:style>
  <w:style w:type="table" w:customStyle="1" w:styleId="PSETableFormat">
    <w:name w:val="PSE_TableFormat"/>
    <w:basedOn w:val="TableNormal"/>
    <w:uiPriority w:val="99"/>
    <w:rsid w:val="00E65674"/>
    <w:pPr>
      <w:widowControl w:val="0"/>
      <w:spacing w:after="0" w:line="240" w:lineRule="auto"/>
      <w:contextualSpacing/>
    </w:pPr>
    <w:rPr>
      <w:rFonts w:ascii="Constantia" w:hAnsi="Constantia"/>
      <w:sz w:val="18"/>
      <w:szCs w:val="22"/>
      <w:lang w:val="en-CA"/>
      <w14:ligatures w14:val="none"/>
      <w14:numForm w14:val="lining"/>
      <w14:numSpacing w14:val="tabular"/>
    </w:rPr>
    <w:tblPr>
      <w:tblBorders>
        <w:top w:val="single" w:sz="4" w:space="0" w:color="auto"/>
        <w:bottom w:val="single" w:sz="12" w:space="0" w:color="auto"/>
      </w:tblBorders>
    </w:tblPr>
    <w:tblStylePr w:type="firstRow">
      <w:rPr>
        <w:rFonts w:ascii="Constantia" w:hAnsi="Constantia"/>
        <w:sz w:val="18"/>
      </w:rPr>
    </w:tblStylePr>
  </w:style>
  <w:style w:type="paragraph" w:customStyle="1" w:styleId="PSETableContent">
    <w:name w:val="PSE_TableContent"/>
    <w:basedOn w:val="PSEText"/>
    <w:next w:val="PSEText"/>
    <w:qFormat/>
    <w:rsid w:val="00E65674"/>
    <w:pPr>
      <w:ind w:firstLine="0"/>
      <w:contextualSpacing/>
      <w:jc w:val="left"/>
    </w:pPr>
    <w:rPr>
      <w14:numSpacing w14:val="tabular"/>
    </w:rPr>
  </w:style>
  <w:style w:type="character" w:customStyle="1" w:styleId="PSETextChar">
    <w:name w:val="PSE_Text Char"/>
    <w:basedOn w:val="DefaultParagraphFont"/>
    <w:link w:val="PSEText"/>
    <w:rsid w:val="00E65674"/>
    <w:rPr>
      <w:rFonts w:ascii="Inter" w:hAnsi="Inter" w:cs="Cormorant Medium"/>
      <w:color w:val="000000"/>
      <w:sz w:val="18"/>
      <w:szCs w:val="20"/>
      <w:lang w:val="en-CA"/>
      <w14:ligatures w14:val="none"/>
      <w14:numForm w14:val="lining"/>
    </w:rPr>
  </w:style>
  <w:style w:type="paragraph" w:customStyle="1" w:styleId="PSEEquation">
    <w:name w:val="PSE_Equation"/>
    <w:basedOn w:val="PSEText"/>
    <w:next w:val="PSEText"/>
    <w:link w:val="PSEEquationChar"/>
    <w:qFormat/>
    <w:rsid w:val="00E65674"/>
    <w:pPr>
      <w:tabs>
        <w:tab w:val="clear" w:pos="425"/>
        <w:tab w:val="right" w:pos="510"/>
      </w:tabs>
      <w:spacing w:before="120" w:after="120"/>
      <w:jc w:val="center"/>
    </w:pPr>
  </w:style>
  <w:style w:type="character" w:customStyle="1" w:styleId="PSEEquationChar">
    <w:name w:val="PSE_Equation Char"/>
    <w:basedOn w:val="PSETextChar"/>
    <w:link w:val="PSEEquation"/>
    <w:rsid w:val="00E65674"/>
    <w:rPr>
      <w:rFonts w:ascii="Inter" w:hAnsi="Inter" w:cs="Cormorant Medium"/>
      <w:color w:val="000000"/>
      <w:sz w:val="18"/>
      <w:szCs w:val="20"/>
      <w:lang w:val="en-CA"/>
      <w14:ligatures w14:val="none"/>
      <w14:numForm w14:val="lining"/>
    </w:rPr>
  </w:style>
  <w:style w:type="character" w:styleId="CommentReference">
    <w:name w:val="annotation reference"/>
    <w:basedOn w:val="DefaultParagraphFont"/>
    <w:uiPriority w:val="99"/>
    <w:semiHidden/>
    <w:unhideWhenUsed/>
    <w:rsid w:val="00A76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D2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D2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D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D25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B32EB"/>
    <w:pPr>
      <w:spacing w:after="0" w:line="240" w:lineRule="auto"/>
    </w:pPr>
    <w:rPr>
      <w:sz w:val="18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0B32EB"/>
  </w:style>
  <w:style w:type="paragraph" w:customStyle="1" w:styleId="PSECitation">
    <w:name w:val="PSE_Citation"/>
    <w:basedOn w:val="PSEText"/>
    <w:qFormat/>
    <w:rsid w:val="00A82D6C"/>
    <w:pPr>
      <w:numPr>
        <w:numId w:val="3"/>
      </w:numPr>
      <w:suppressAutoHyphens/>
      <w:ind w:left="425" w:hanging="425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E97B-424C-4763-8FFF-365E1DC2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So-Mang</dc:creator>
  <cp:keywords/>
  <dc:description/>
  <cp:lastModifiedBy>Kim So-Mang</cp:lastModifiedBy>
  <cp:revision>2</cp:revision>
  <dcterms:created xsi:type="dcterms:W3CDTF">2025-01-31T21:28:00Z</dcterms:created>
  <dcterms:modified xsi:type="dcterms:W3CDTF">2025-01-31T21:28:00Z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f19b3b3eabd34b374818e806a6d9539a2b19d683b1364f6de9c130617d336747</vt:lpwstr>
  </property>
</Properties>
</file>